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8EA74" w14:textId="49F60A66" w:rsidR="007E6184" w:rsidRPr="006B39BB" w:rsidRDefault="007E6184" w:rsidP="0082711F">
      <w:pPr>
        <w:spacing w:before="120" w:line="276" w:lineRule="auto"/>
        <w:jc w:val="both"/>
        <w:rPr>
          <w:rFonts w:ascii="Arial Nova" w:hAnsi="Arial Nova" w:cstheme="minorHAnsi"/>
          <w:b/>
          <w:bCs/>
          <w:color w:val="2C363A"/>
          <w:u w:color="2C363A"/>
        </w:rPr>
      </w:pPr>
      <w:r w:rsidRPr="006B39BB">
        <w:rPr>
          <w:rFonts w:ascii="Arial Nova" w:hAnsi="Arial Nova" w:cstheme="minorHAnsi"/>
          <w:b/>
          <w:bCs/>
          <w:color w:val="2C363A"/>
          <w:u w:color="2C363A"/>
        </w:rPr>
        <w:t>Si parla molto di portualità, poco dei terminal, delle imprese portuali che la fanno vivere, che generano traffici e lavoro.</w:t>
      </w:r>
    </w:p>
    <w:p w14:paraId="4E8D7C2A" w14:textId="76D25F75" w:rsidR="007E6184" w:rsidRPr="006B39BB" w:rsidRDefault="007E6184" w:rsidP="0082711F">
      <w:pPr>
        <w:spacing w:before="120" w:line="276" w:lineRule="auto"/>
        <w:jc w:val="both"/>
        <w:rPr>
          <w:rFonts w:ascii="Arial Nova" w:hAnsi="Arial Nova" w:cstheme="minorHAnsi"/>
          <w:b/>
          <w:bCs/>
          <w:color w:val="2C363A"/>
          <w:u w:color="2C363A"/>
        </w:rPr>
      </w:pPr>
      <w:r w:rsidRPr="006B39BB">
        <w:rPr>
          <w:rFonts w:ascii="Arial Nova" w:hAnsi="Arial Nova" w:cstheme="minorHAnsi"/>
          <w:b/>
          <w:bCs/>
          <w:color w:val="2C363A"/>
          <w:u w:color="2C363A"/>
        </w:rPr>
        <w:t xml:space="preserve">Non diamo </w:t>
      </w:r>
      <w:r w:rsidR="00F37C02" w:rsidRPr="006B39BB">
        <w:rPr>
          <w:rFonts w:ascii="Arial Nova" w:hAnsi="Arial Nova" w:cstheme="minorHAnsi"/>
          <w:b/>
          <w:bCs/>
          <w:color w:val="2C363A"/>
          <w:u w:color="2C363A"/>
        </w:rPr>
        <w:t>i numeri</w:t>
      </w:r>
      <w:r w:rsidRPr="006B39BB">
        <w:rPr>
          <w:rFonts w:ascii="Arial Nova" w:hAnsi="Arial Nova" w:cstheme="minorHAnsi"/>
          <w:b/>
          <w:bCs/>
          <w:color w:val="2C363A"/>
          <w:u w:color="2C363A"/>
        </w:rPr>
        <w:t xml:space="preserve">, confermiamo </w:t>
      </w:r>
      <w:r w:rsidR="00F37C02" w:rsidRPr="006B39BB">
        <w:rPr>
          <w:rFonts w:ascii="Arial Nova" w:hAnsi="Arial Nova" w:cstheme="minorHAnsi"/>
          <w:b/>
          <w:bCs/>
          <w:color w:val="2C363A"/>
          <w:u w:color="2C363A"/>
        </w:rPr>
        <w:t>i dati</w:t>
      </w:r>
      <w:r w:rsidRPr="006B39BB">
        <w:rPr>
          <w:rFonts w:ascii="Arial Nova" w:hAnsi="Arial Nova" w:cstheme="minorHAnsi"/>
          <w:b/>
          <w:bCs/>
          <w:color w:val="2C363A"/>
          <w:u w:color="2C363A"/>
        </w:rPr>
        <w:t xml:space="preserve"> forniti nel corso della nostra Assemblea “R</w:t>
      </w:r>
      <w:r w:rsidR="006D0F6E" w:rsidRPr="006B39BB">
        <w:rPr>
          <w:rFonts w:ascii="Arial Nova" w:hAnsi="Arial Nova" w:cstheme="minorHAnsi"/>
          <w:b/>
          <w:bCs/>
          <w:color w:val="2C363A"/>
          <w:u w:color="2C363A"/>
        </w:rPr>
        <w:t>AP</w:t>
      </w:r>
      <w:r w:rsidR="00D366B1" w:rsidRPr="006B39BB">
        <w:rPr>
          <w:rFonts w:ascii="Arial Nova" w:hAnsi="Arial Nova" w:cstheme="minorHAnsi"/>
          <w:b/>
          <w:bCs/>
          <w:color w:val="4472C4" w:themeColor="accent1"/>
          <w:u w:color="2C363A"/>
        </w:rPr>
        <w:t>PORTI</w:t>
      </w:r>
      <w:r w:rsidR="006D0F6E" w:rsidRPr="006B39BB">
        <w:rPr>
          <w:rFonts w:ascii="Arial Nova" w:hAnsi="Arial Nova" w:cstheme="minorHAnsi"/>
          <w:b/>
          <w:bCs/>
          <w:color w:val="2C363A"/>
          <w:u w:color="2C363A"/>
        </w:rPr>
        <w:t xml:space="preserve"> – connessioni in condivisione</w:t>
      </w:r>
      <w:r w:rsidRPr="006B39BB">
        <w:rPr>
          <w:rFonts w:ascii="Arial Nova" w:hAnsi="Arial Nova" w:cstheme="minorHAnsi"/>
          <w:b/>
          <w:bCs/>
          <w:color w:val="2C363A"/>
          <w:u w:color="2C363A"/>
        </w:rPr>
        <w:t>” dello scorso luglio, così come il nostro modo di essere e fare Associazione</w:t>
      </w:r>
    </w:p>
    <w:p w14:paraId="0512E62E" w14:textId="6E9A39AA" w:rsidR="003F1D2B" w:rsidRPr="006B39BB" w:rsidRDefault="003F1D2B" w:rsidP="0082711F">
      <w:pPr>
        <w:tabs>
          <w:tab w:val="center" w:pos="5046"/>
          <w:tab w:val="right" w:pos="10092"/>
        </w:tabs>
        <w:spacing w:before="120" w:line="276" w:lineRule="auto"/>
        <w:rPr>
          <w:rFonts w:ascii="Arial Nova" w:hAnsi="Arial Nova" w:cstheme="minorHAnsi"/>
          <w:b/>
          <w:bCs/>
          <w:color w:val="2C363A"/>
          <w:u w:color="2C363A"/>
        </w:rPr>
      </w:pPr>
      <w:r w:rsidRPr="006B39BB">
        <w:rPr>
          <w:rFonts w:ascii="Arial Nova" w:hAnsi="Arial Nova" w:cstheme="minorHAnsi"/>
          <w:b/>
          <w:bCs/>
          <w:color w:val="2C363A"/>
          <w:u w:color="2C363A"/>
        </w:rPr>
        <w:t>Il sistema della portualità ha bisogno di una governance semplificata e centrale</w:t>
      </w:r>
      <w:r w:rsidR="00A245F3" w:rsidRPr="006B39BB">
        <w:rPr>
          <w:rFonts w:ascii="Arial Nova" w:hAnsi="Arial Nova" w:cstheme="minorHAnsi"/>
          <w:b/>
          <w:bCs/>
          <w:color w:val="2C363A"/>
          <w:u w:color="2C363A"/>
        </w:rPr>
        <w:t>.</w:t>
      </w:r>
      <w:r w:rsidRPr="006B39BB">
        <w:rPr>
          <w:rFonts w:ascii="Arial Nova" w:hAnsi="Arial Nova" w:cstheme="minorHAnsi"/>
          <w:b/>
          <w:bCs/>
          <w:color w:val="2C363A"/>
          <w:u w:color="2C363A"/>
        </w:rPr>
        <w:tab/>
      </w:r>
    </w:p>
    <w:p w14:paraId="73D8532B" w14:textId="56DD7610" w:rsidR="008E3207" w:rsidRPr="006B39BB" w:rsidRDefault="008E3207" w:rsidP="0082711F">
      <w:pPr>
        <w:tabs>
          <w:tab w:val="center" w:pos="5046"/>
          <w:tab w:val="right" w:pos="10092"/>
        </w:tabs>
        <w:spacing w:before="120" w:line="276" w:lineRule="auto"/>
        <w:rPr>
          <w:rFonts w:ascii="Arial Nova" w:hAnsi="Arial Nova" w:cstheme="minorHAnsi"/>
          <w:b/>
          <w:bCs/>
          <w:color w:val="2C363A"/>
          <w:u w:color="2C363A"/>
        </w:rPr>
      </w:pPr>
      <w:r w:rsidRPr="006B39BB">
        <w:rPr>
          <w:rFonts w:ascii="Arial Nova" w:hAnsi="Arial Nova" w:cstheme="minorHAnsi"/>
          <w:b/>
          <w:bCs/>
          <w:color w:val="2C363A"/>
          <w:u w:color="2C363A"/>
        </w:rPr>
        <w:t>Le nostre considerazioni e le nostre proposte</w:t>
      </w:r>
    </w:p>
    <w:p w14:paraId="65E35099" w14:textId="7B53CE97" w:rsidR="003F1D2B" w:rsidRPr="006B39BB" w:rsidRDefault="003F1D2B" w:rsidP="005562FA">
      <w:pPr>
        <w:pStyle w:val="Paragrafoelenco"/>
        <w:numPr>
          <w:ilvl w:val="0"/>
          <w:numId w:val="3"/>
        </w:numPr>
        <w:spacing w:before="120" w:line="360" w:lineRule="auto"/>
        <w:ind w:left="0"/>
        <w:jc w:val="both"/>
        <w:rPr>
          <w:rFonts w:ascii="Arial Nova" w:hAnsi="Arial Nova" w:cstheme="minorHAnsi"/>
          <w:b/>
          <w:bCs/>
          <w:color w:val="4472C4" w:themeColor="accent1"/>
          <w:u w:color="2C363A"/>
        </w:rPr>
      </w:pPr>
      <w:r w:rsidRPr="006B39BB">
        <w:rPr>
          <w:rFonts w:ascii="Arial Nova" w:hAnsi="Arial Nova" w:cstheme="minorHAnsi"/>
          <w:b/>
          <w:bCs/>
          <w:color w:val="4472C4" w:themeColor="accent1"/>
          <w:u w:color="2C363A"/>
        </w:rPr>
        <w:t>Lavoro</w:t>
      </w:r>
      <w:r w:rsidR="008E3207" w:rsidRPr="006B39BB">
        <w:rPr>
          <w:rFonts w:ascii="Arial Nova" w:hAnsi="Arial Nova" w:cstheme="minorHAnsi"/>
          <w:b/>
          <w:bCs/>
          <w:color w:val="4472C4" w:themeColor="accent1"/>
          <w:u w:color="2C363A"/>
        </w:rPr>
        <w:tab/>
      </w:r>
      <w:r w:rsidR="008E3207" w:rsidRPr="006B39BB">
        <w:rPr>
          <w:rFonts w:ascii="Arial Nova" w:hAnsi="Arial Nova" w:cstheme="minorHAnsi"/>
          <w:b/>
          <w:bCs/>
          <w:color w:val="4472C4" w:themeColor="accent1"/>
          <w:u w:color="2C363A"/>
        </w:rPr>
        <w:tab/>
      </w:r>
    </w:p>
    <w:p w14:paraId="5C97E20F" w14:textId="77777777" w:rsidR="003F1D2B" w:rsidRPr="006B39BB" w:rsidRDefault="003F1D2B" w:rsidP="005562FA">
      <w:pPr>
        <w:pStyle w:val="Paragrafoelenco"/>
        <w:numPr>
          <w:ilvl w:val="0"/>
          <w:numId w:val="3"/>
        </w:numPr>
        <w:spacing w:before="120" w:line="360" w:lineRule="auto"/>
        <w:ind w:left="0"/>
        <w:jc w:val="both"/>
        <w:rPr>
          <w:rFonts w:ascii="Arial Nova" w:hAnsi="Arial Nova" w:cstheme="minorHAnsi"/>
          <w:b/>
          <w:bCs/>
          <w:color w:val="2C363A"/>
          <w:u w:color="2C363A"/>
        </w:rPr>
      </w:pPr>
      <w:r w:rsidRPr="006B39BB">
        <w:rPr>
          <w:rFonts w:ascii="Arial Nova" w:hAnsi="Arial Nova" w:cstheme="minorHAnsi"/>
          <w:b/>
          <w:bCs/>
          <w:color w:val="2C363A"/>
          <w:u w:color="2C363A"/>
        </w:rPr>
        <w:t xml:space="preserve">Governance </w:t>
      </w:r>
    </w:p>
    <w:p w14:paraId="49C8498B" w14:textId="77777777" w:rsidR="003F1D2B" w:rsidRPr="006B39BB" w:rsidRDefault="003F1D2B" w:rsidP="005562FA">
      <w:pPr>
        <w:pStyle w:val="Paragrafoelenco"/>
        <w:numPr>
          <w:ilvl w:val="0"/>
          <w:numId w:val="3"/>
        </w:numPr>
        <w:spacing w:before="120" w:line="360" w:lineRule="auto"/>
        <w:ind w:left="0"/>
        <w:jc w:val="both"/>
        <w:rPr>
          <w:rFonts w:ascii="Arial Nova" w:hAnsi="Arial Nova" w:cstheme="minorHAnsi"/>
          <w:b/>
          <w:bCs/>
          <w:color w:val="538135" w:themeColor="accent6" w:themeShade="BF"/>
          <w:u w:color="2C363A"/>
        </w:rPr>
      </w:pPr>
      <w:r w:rsidRPr="006B39BB">
        <w:rPr>
          <w:rFonts w:ascii="Arial Nova" w:hAnsi="Arial Nova" w:cstheme="minorHAnsi"/>
          <w:b/>
          <w:bCs/>
          <w:color w:val="538135" w:themeColor="accent6" w:themeShade="BF"/>
          <w:u w:color="2C363A"/>
        </w:rPr>
        <w:t>Transizione energetica</w:t>
      </w:r>
    </w:p>
    <w:p w14:paraId="23BA2926" w14:textId="77777777" w:rsidR="003F1D2B" w:rsidRPr="006B39BB" w:rsidRDefault="003F1D2B" w:rsidP="005562FA">
      <w:pPr>
        <w:pStyle w:val="Paragrafoelenco"/>
        <w:numPr>
          <w:ilvl w:val="0"/>
          <w:numId w:val="3"/>
        </w:numPr>
        <w:spacing w:before="120" w:line="360" w:lineRule="auto"/>
        <w:ind w:left="0"/>
        <w:jc w:val="both"/>
        <w:rPr>
          <w:rFonts w:ascii="Arial Nova" w:hAnsi="Arial Nova" w:cstheme="minorHAnsi"/>
          <w:b/>
          <w:bCs/>
          <w:color w:val="FF3300"/>
          <w:u w:color="2C363A"/>
        </w:rPr>
      </w:pPr>
      <w:r w:rsidRPr="006B39BB">
        <w:rPr>
          <w:rFonts w:ascii="Arial Nova" w:hAnsi="Arial Nova" w:cstheme="minorHAnsi"/>
          <w:b/>
          <w:bCs/>
          <w:color w:val="FF3300"/>
          <w:u w:color="2C363A"/>
        </w:rPr>
        <w:t>Transizione digitale</w:t>
      </w:r>
    </w:p>
    <w:p w14:paraId="175E883A" w14:textId="77777777" w:rsidR="007E6184" w:rsidRPr="006B39BB" w:rsidRDefault="007E6184" w:rsidP="005562FA">
      <w:pPr>
        <w:spacing w:before="120" w:line="360" w:lineRule="auto"/>
        <w:jc w:val="both"/>
        <w:rPr>
          <w:rFonts w:ascii="Arial Nova" w:hAnsi="Arial Nova" w:cstheme="minorHAnsi"/>
          <w:b/>
          <w:bCs/>
          <w:color w:val="2C363A"/>
          <w:u w:color="2C363A"/>
        </w:rPr>
      </w:pPr>
    </w:p>
    <w:p w14:paraId="441C8BC4" w14:textId="0E12F47B" w:rsidR="000F62D8" w:rsidRPr="006B39BB" w:rsidRDefault="000F62D8" w:rsidP="005562FA">
      <w:pPr>
        <w:pStyle w:val="Paragrafoelenco"/>
        <w:numPr>
          <w:ilvl w:val="0"/>
          <w:numId w:val="4"/>
        </w:numPr>
        <w:spacing w:before="120" w:line="360" w:lineRule="auto"/>
        <w:ind w:left="0"/>
        <w:jc w:val="both"/>
        <w:rPr>
          <w:rFonts w:ascii="Arial Nova" w:hAnsi="Arial Nova" w:cstheme="minorHAnsi"/>
          <w:color w:val="0070C0"/>
          <w:sz w:val="28"/>
          <w:szCs w:val="28"/>
          <w:u w:color="2C363A"/>
        </w:rPr>
      </w:pPr>
      <w:r w:rsidRPr="006B39BB">
        <w:rPr>
          <w:rFonts w:ascii="Arial Nova" w:hAnsi="Arial Nova" w:cstheme="minorHAnsi"/>
          <w:b/>
          <w:bCs/>
          <w:color w:val="0070C0"/>
          <w:sz w:val="28"/>
          <w:szCs w:val="28"/>
          <w:u w:color="2C363A"/>
        </w:rPr>
        <w:t>LAVORO</w:t>
      </w:r>
    </w:p>
    <w:p w14:paraId="39684544" w14:textId="296E95B4" w:rsidR="000F62D8" w:rsidRPr="0082711F" w:rsidRDefault="000F62D8" w:rsidP="005562FA">
      <w:pPr>
        <w:spacing w:before="120" w:line="360" w:lineRule="auto"/>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Rinnovato il CCNL dei lavoratori dei porti: 12 mesi di trattative, di non facili mediazioni tra tutte le componenti delle delegazioni trattanti. Momenti in cui è mancata la condivisione con i lavoratori sull’andamento delle trattative e sul merito delle questioni e delle problematiche che si stavano affrontando, da una parte, dall’altra momenti in cui gli equilibri tra associazioni datoriali sono stati messi in discussione rischiando di perdere il focus sulla portata e sugli effetti di un contratto “collettivo”.</w:t>
      </w:r>
    </w:p>
    <w:p w14:paraId="35691300" w14:textId="5F1BBE27" w:rsidR="000F62D8" w:rsidRPr="0082711F" w:rsidRDefault="000F62D8" w:rsidP="005562FA">
      <w:pPr>
        <w:spacing w:before="120" w:line="360" w:lineRule="auto"/>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Ora abbiamo un “prodotto” che porterà il livello di inquadramento di riferimento a una retribuzione mensile lorda di circa duemila euro, che ha inserito strumenti di welfare, che aumenterà le prestazioni a copertura della polizza sanitaria, che apre a tutte le tipizzazioni del contratto di apprendistato. Abbiamo due anni davanti per lavorare su una piattaforma di prossimo rinnovo che renda il nostro contratto ancora più un modello per le aziende e i lavoratori.</w:t>
      </w:r>
    </w:p>
    <w:p w14:paraId="21B691E0" w14:textId="48EC21E8" w:rsidR="000F62D8" w:rsidRPr="0082711F" w:rsidRDefault="000F62D8" w:rsidP="005562FA">
      <w:pPr>
        <w:spacing w:before="120" w:line="360" w:lineRule="auto"/>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 xml:space="preserve">Il valore del nostro CCNL </w:t>
      </w:r>
      <w:proofErr w:type="spellStart"/>
      <w:r w:rsidRPr="0082711F">
        <w:rPr>
          <w:rFonts w:ascii="Arial Nova" w:hAnsi="Arial Nova" w:cstheme="minorHAnsi"/>
          <w:color w:val="44546A" w:themeColor="text2"/>
          <w:u w:color="2C363A"/>
        </w:rPr>
        <w:t>và</w:t>
      </w:r>
      <w:proofErr w:type="spellEnd"/>
      <w:r w:rsidRPr="0082711F">
        <w:rPr>
          <w:rFonts w:ascii="Arial Nova" w:hAnsi="Arial Nova" w:cstheme="minorHAnsi"/>
          <w:color w:val="44546A" w:themeColor="text2"/>
          <w:u w:color="2C363A"/>
        </w:rPr>
        <w:t xml:space="preserve"> confermato per la sua capacità di regolare l’attività imprenditoriale nei porti e i rapporti di lavoro, ricordandoci che il nostro comparto esiste in quanto “autorizzato” dallo Stato, attraverso un processo pubblicistico di concessioni e autorizzazioni che hanno alla base </w:t>
      </w:r>
      <w:r w:rsidR="001F09EE" w:rsidRPr="0082711F">
        <w:rPr>
          <w:rFonts w:ascii="Arial Nova" w:hAnsi="Arial Nova" w:cstheme="minorHAnsi"/>
          <w:color w:val="44546A" w:themeColor="text2"/>
          <w:u w:color="2C363A"/>
        </w:rPr>
        <w:t>la capacità di fare impresa e di sviluppare traffici funzionali a potenziare e garantire import, export e turismo: tutte attività utili al sistema produttivo del Paese.</w:t>
      </w:r>
    </w:p>
    <w:p w14:paraId="162AA5D6" w14:textId="25DDA743" w:rsidR="000F62D8" w:rsidRPr="0082711F" w:rsidRDefault="000F62D8" w:rsidP="005562FA">
      <w:pPr>
        <w:spacing w:before="120" w:line="360" w:lineRule="auto"/>
        <w:jc w:val="both"/>
        <w:rPr>
          <w:rFonts w:ascii="Arial Nova" w:eastAsia="Arial" w:hAnsi="Arial Nova" w:cstheme="minorHAnsi"/>
          <w:color w:val="44546A" w:themeColor="text2"/>
          <w:u w:color="2C363A"/>
        </w:rPr>
      </w:pPr>
      <w:r w:rsidRPr="0082711F">
        <w:rPr>
          <w:rFonts w:ascii="Arial Nova" w:hAnsi="Arial Nova" w:cstheme="minorHAnsi"/>
          <w:b/>
          <w:bCs/>
          <w:color w:val="44546A" w:themeColor="text2"/>
          <w:u w:color="2C363A"/>
        </w:rPr>
        <w:t>Assiterminal</w:t>
      </w:r>
      <w:r w:rsidRPr="0082711F">
        <w:rPr>
          <w:rFonts w:ascii="Arial Nova" w:hAnsi="Arial Nova" w:cstheme="minorHAnsi"/>
          <w:color w:val="44546A" w:themeColor="text2"/>
          <w:u w:color="2C363A"/>
        </w:rPr>
        <w:t xml:space="preserve"> crede fortemente nel CCNL dei porti, così come nella regolazione del lavoro nei porti che resta e deve restare elemento distintivo nel nostro mercato del lavoro per garantire adeguate condizioni economiche, certezza nell’organizzazione del lavoro, assenza di lavoro irregolare e di </w:t>
      </w:r>
      <w:r w:rsidRPr="0082711F">
        <w:rPr>
          <w:rFonts w:ascii="Arial Nova" w:hAnsi="Arial Nova" w:cstheme="minorHAnsi"/>
          <w:color w:val="44546A" w:themeColor="text2"/>
          <w:u w:color="2C363A"/>
        </w:rPr>
        <w:lastRenderedPageBreak/>
        <w:t xml:space="preserve">conseguenza rafforzare i presupposti per un lavoro sicuro. I porti e lo shipping sono gli unici due settori in cui lo Stato (attraverso le Autorità di sistema e le Capitanerie, ciascuno per il proprio ambito) assicura insieme alle imprese la regolarità dei rapporti di lavoro: di questo dobbiamo essere orgogliosi e valorizzare la nostra specificità. </w:t>
      </w:r>
    </w:p>
    <w:p w14:paraId="7D28CF17" w14:textId="77777777" w:rsidR="000F62D8" w:rsidRPr="0082711F" w:rsidRDefault="000F62D8" w:rsidP="005562FA">
      <w:pPr>
        <w:spacing w:before="120" w:line="360" w:lineRule="auto"/>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L’efficienza delle imprese si fonda sulla loro capacità di investire sulle donne e sugli uomini che ne fanno parte: formazione, equità, valorizzazione delle diversità, welfare, corrette relazioni sindacali, engagement sul territorio, ma anche misure idonee per accompagnare il ricambio generazionale e accogliere i giovani: tutti valori e presupposti che condividiamo e promuoviamo quotidianamente.</w:t>
      </w:r>
    </w:p>
    <w:p w14:paraId="41EFA11F" w14:textId="4097F7AE" w:rsidR="001F09EE" w:rsidRPr="006B39BB" w:rsidRDefault="003F1D2B" w:rsidP="006B39BB">
      <w:pPr>
        <w:pStyle w:val="Paragrafoelenco"/>
        <w:numPr>
          <w:ilvl w:val="1"/>
          <w:numId w:val="13"/>
        </w:numPr>
        <w:spacing w:before="120" w:line="360" w:lineRule="auto"/>
        <w:jc w:val="both"/>
        <w:rPr>
          <w:rFonts w:ascii="Arial Nova" w:hAnsi="Arial Nova" w:cstheme="minorHAnsi"/>
          <w:b/>
          <w:bCs/>
          <w:color w:val="0070C0"/>
          <w:sz w:val="28"/>
          <w:szCs w:val="28"/>
          <w:u w:color="2C363A"/>
        </w:rPr>
      </w:pPr>
      <w:r w:rsidRPr="006B39BB">
        <w:rPr>
          <w:rFonts w:ascii="Arial Nova" w:hAnsi="Arial Nova" w:cstheme="minorHAnsi"/>
          <w:b/>
          <w:bCs/>
          <w:color w:val="0070C0"/>
          <w:sz w:val="28"/>
          <w:szCs w:val="28"/>
          <w:u w:color="2C363A"/>
        </w:rPr>
        <w:t>PROPOSTE</w:t>
      </w:r>
    </w:p>
    <w:p w14:paraId="25E78AA1" w14:textId="77777777" w:rsidR="00FF320B" w:rsidRPr="0082711F" w:rsidRDefault="001F09EE" w:rsidP="005562FA">
      <w:pPr>
        <w:pStyle w:val="Paragrafoelenco"/>
        <w:numPr>
          <w:ilvl w:val="0"/>
          <w:numId w:val="1"/>
        </w:numPr>
        <w:spacing w:before="120" w:line="360" w:lineRule="auto"/>
        <w:ind w:left="0"/>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La regolazione e la regolamentazione del lavoro nei porti dovrebbero essere garantite e disciplinate da un unico impianto normativo nazionale che superi la distinzione tra operazioni e servizi portuali (dm 585/95 – dm 132/2001) comprendendo quindi il ciclo delle operazioni portuali in un’unica disciplina, segmentabile (appaltabile quindi secondo le norme di carattere generale, sempre ovviamente in un alveo autorizzativo)</w:t>
      </w:r>
    </w:p>
    <w:p w14:paraId="26174273" w14:textId="0DC15480" w:rsidR="00FF320B" w:rsidRPr="0082711F" w:rsidRDefault="001F09EE" w:rsidP="005562FA">
      <w:pPr>
        <w:pStyle w:val="Paragrafoelenco"/>
        <w:numPr>
          <w:ilvl w:val="0"/>
          <w:numId w:val="1"/>
        </w:numPr>
        <w:spacing w:before="120" w:line="360" w:lineRule="auto"/>
        <w:ind w:left="0"/>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 xml:space="preserve">La somministrazione di lavoro temporaneo portuale, in un’ottica di servizio di interesse generale e laddove </w:t>
      </w:r>
      <w:r w:rsidR="00FF320B" w:rsidRPr="0082711F">
        <w:rPr>
          <w:rFonts w:ascii="Arial Nova" w:hAnsi="Arial Nova" w:cstheme="minorHAnsi"/>
          <w:color w:val="44546A" w:themeColor="text2"/>
          <w:u w:color="2C363A"/>
        </w:rPr>
        <w:t>si ravveda la necessità di una sua istituzione nelle forme previste dall’art.17, legge 84/94, potrebbe prevedere, in coerenza con quanto sopraesposto, l’estensione ad attività oggi cd “accessorie” a condizioni di mercato</w:t>
      </w:r>
      <w:r w:rsidR="00C125FA" w:rsidRPr="0082711F">
        <w:rPr>
          <w:rFonts w:ascii="Arial Nova" w:hAnsi="Arial Nova" w:cstheme="minorHAnsi"/>
          <w:color w:val="44546A" w:themeColor="text2"/>
          <w:u w:color="2C363A"/>
        </w:rPr>
        <w:t>.</w:t>
      </w:r>
      <w:r w:rsidR="00ED3AD2" w:rsidRPr="0082711F">
        <w:rPr>
          <w:rFonts w:ascii="Arial Nova" w:hAnsi="Arial Nova" w:cstheme="minorHAnsi"/>
          <w:color w:val="44546A" w:themeColor="text2"/>
          <w:u w:color="2C363A"/>
        </w:rPr>
        <w:t xml:space="preserve"> Valutare inoltre </w:t>
      </w:r>
      <w:r w:rsidR="00F05E58" w:rsidRPr="0082711F">
        <w:rPr>
          <w:rFonts w:ascii="Arial Nova" w:hAnsi="Arial Nova" w:cstheme="minorHAnsi"/>
          <w:color w:val="44546A" w:themeColor="text2"/>
          <w:u w:color="2C363A"/>
        </w:rPr>
        <w:t>quali eventuali soluzioni – diverse dalle attuali - adottare per assicurare adeguate forme di tutela per i lavoratori somministrati</w:t>
      </w:r>
    </w:p>
    <w:p w14:paraId="0060A55E" w14:textId="0B6B1527" w:rsidR="00FF320B" w:rsidRPr="0082711F" w:rsidRDefault="00FF320B" w:rsidP="005562FA">
      <w:pPr>
        <w:pStyle w:val="Paragrafoelenco"/>
        <w:numPr>
          <w:ilvl w:val="0"/>
          <w:numId w:val="1"/>
        </w:numPr>
        <w:spacing w:before="120" w:line="360" w:lineRule="auto"/>
        <w:ind w:left="0"/>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 xml:space="preserve">Confidiamo che in legge di bilancio possa passare l’emendamento per l’esigibilità del cd “fondo prepensionamento lavoratori portuali” funzionale ad avviare con adeguate misure di sostegno un graduale e necessario ricambio generazionale in un settore in cui la media anagrafica dei lavoratori “operativi” tende a superare i 50 anni: i processi di automazione vanno </w:t>
      </w:r>
      <w:proofErr w:type="gramStart"/>
      <w:r w:rsidRPr="0082711F">
        <w:rPr>
          <w:rFonts w:ascii="Arial Nova" w:hAnsi="Arial Nova" w:cstheme="minorHAnsi"/>
          <w:color w:val="44546A" w:themeColor="text2"/>
          <w:u w:color="2C363A"/>
        </w:rPr>
        <w:t>accompagnati !</w:t>
      </w:r>
      <w:proofErr w:type="gramEnd"/>
    </w:p>
    <w:p w14:paraId="084AC8FD" w14:textId="4F2EAB69" w:rsidR="004D3E07" w:rsidRPr="0082711F" w:rsidRDefault="004D3E07" w:rsidP="005562FA">
      <w:pPr>
        <w:pStyle w:val="Paragrafoelenco"/>
        <w:numPr>
          <w:ilvl w:val="0"/>
          <w:numId w:val="1"/>
        </w:numPr>
        <w:spacing w:before="120" w:line="360" w:lineRule="auto"/>
        <w:ind w:left="0"/>
        <w:jc w:val="both"/>
        <w:rPr>
          <w:rFonts w:ascii="Arial Nova" w:hAnsi="Arial Nova" w:cstheme="minorHAnsi"/>
          <w:color w:val="44546A" w:themeColor="text2"/>
          <w:u w:color="2C363A"/>
        </w:rPr>
      </w:pPr>
      <w:r w:rsidRPr="0082711F">
        <w:rPr>
          <w:rFonts w:ascii="Arial Nova" w:hAnsi="Arial Nova" w:cstheme="minorHAnsi"/>
          <w:color w:val="44546A" w:themeColor="text2"/>
          <w:u w:color="2C363A"/>
        </w:rPr>
        <w:t>Procedere all’individuazione, anche graduale, dell’inserimento di alcune mansioni di lavoro portuale tra le categorie usuranti</w:t>
      </w:r>
    </w:p>
    <w:p w14:paraId="729514A6" w14:textId="77777777" w:rsidR="007A5B53" w:rsidRPr="006B39BB" w:rsidRDefault="007A5B53" w:rsidP="005562FA">
      <w:pPr>
        <w:spacing w:before="120" w:line="360" w:lineRule="auto"/>
        <w:jc w:val="both"/>
        <w:rPr>
          <w:rFonts w:ascii="Arial Nova" w:hAnsi="Arial Nova" w:cstheme="minorHAnsi"/>
          <w:color w:val="2C363A"/>
          <w:u w:color="2C363A"/>
        </w:rPr>
      </w:pPr>
    </w:p>
    <w:p w14:paraId="2302F057" w14:textId="422A2AE4" w:rsidR="007A5B53" w:rsidRPr="006B39BB" w:rsidRDefault="007A5B53" w:rsidP="005562FA">
      <w:pPr>
        <w:pStyle w:val="Paragrafoelenco"/>
        <w:numPr>
          <w:ilvl w:val="0"/>
          <w:numId w:val="4"/>
        </w:numPr>
        <w:tabs>
          <w:tab w:val="left" w:pos="2115"/>
        </w:tabs>
        <w:spacing w:line="360" w:lineRule="auto"/>
        <w:ind w:left="0"/>
        <w:jc w:val="both"/>
        <w:rPr>
          <w:rFonts w:ascii="Arial Nova" w:eastAsia="Arial" w:hAnsi="Arial Nova" w:cstheme="minorHAnsi"/>
          <w:b/>
          <w:bCs/>
          <w:color w:val="2C363A"/>
          <w:sz w:val="28"/>
          <w:szCs w:val="28"/>
          <w:u w:color="2C363A"/>
        </w:rPr>
      </w:pPr>
      <w:r w:rsidRPr="006B39BB">
        <w:rPr>
          <w:rFonts w:ascii="Arial Nova" w:hAnsi="Arial Nova" w:cstheme="minorHAnsi"/>
          <w:b/>
          <w:bCs/>
          <w:color w:val="2C363A"/>
          <w:sz w:val="28"/>
          <w:szCs w:val="28"/>
          <w:u w:color="2C363A"/>
        </w:rPr>
        <w:t>GOVERNANCE</w:t>
      </w:r>
    </w:p>
    <w:p w14:paraId="7EFE8466" w14:textId="2A758E2E" w:rsidR="007A5B53" w:rsidRPr="006B39BB" w:rsidRDefault="007A5B53" w:rsidP="005562FA">
      <w:pPr>
        <w:spacing w:line="360" w:lineRule="auto"/>
        <w:jc w:val="both"/>
        <w:rPr>
          <w:rFonts w:ascii="Arial Nova" w:eastAsia="Arial" w:hAnsi="Arial Nova" w:cstheme="minorHAnsi"/>
          <w:color w:val="auto"/>
          <w:u w:color="2C363A"/>
        </w:rPr>
      </w:pPr>
      <w:r w:rsidRPr="006B39BB">
        <w:rPr>
          <w:rFonts w:ascii="Arial Nova" w:hAnsi="Arial Nova" w:cstheme="minorHAnsi"/>
          <w:color w:val="auto"/>
          <w:u w:color="2C363A"/>
        </w:rPr>
        <w:t>Premettiamo un principio a noi molto caro: l’efficienza dei porti è data dalla capacità di produrre valore da parte delle aziende. Il nostro sistema portuale è fondato su un modello in linea di principio ideale, di partnership pubblico privato, Stato/impresa, concedente/concessionario che deve svilupparsi attraverso meccanismi che semplifichino anche per le Autorità di Sistema l’esercizio delle loro funzioni</w:t>
      </w:r>
      <w:r w:rsidR="003F1D2B" w:rsidRPr="006B39BB">
        <w:rPr>
          <w:rFonts w:ascii="Arial Nova" w:hAnsi="Arial Nova" w:cstheme="minorHAnsi"/>
          <w:color w:val="auto"/>
          <w:u w:color="2C363A"/>
        </w:rPr>
        <w:t xml:space="preserve"> dando certezza a chi investe o voglia investire</w:t>
      </w:r>
      <w:r w:rsidRPr="006B39BB">
        <w:rPr>
          <w:rFonts w:ascii="Arial Nova" w:hAnsi="Arial Nova" w:cstheme="minorHAnsi"/>
          <w:color w:val="auto"/>
          <w:u w:color="2C363A"/>
        </w:rPr>
        <w:t>.</w:t>
      </w:r>
    </w:p>
    <w:p w14:paraId="052A414F" w14:textId="77777777" w:rsidR="007A5B53" w:rsidRPr="006B39BB" w:rsidRDefault="007A5B53" w:rsidP="005562FA">
      <w:pPr>
        <w:spacing w:line="360" w:lineRule="auto"/>
        <w:jc w:val="both"/>
        <w:rPr>
          <w:rFonts w:ascii="Arial Nova" w:eastAsia="Arial" w:hAnsi="Arial Nova" w:cstheme="minorHAnsi"/>
          <w:color w:val="auto"/>
          <w:u w:color="2C363A"/>
        </w:rPr>
      </w:pPr>
      <w:r w:rsidRPr="006B39BB">
        <w:rPr>
          <w:rFonts w:ascii="Arial Nova" w:hAnsi="Arial Nova" w:cstheme="minorHAnsi"/>
          <w:color w:val="auto"/>
          <w:u w:color="2C363A"/>
        </w:rPr>
        <w:lastRenderedPageBreak/>
        <w:t xml:space="preserve">Non è in discussione la natura giuridica delle ADSP: il demanio è un bene pubblico strategico per il sistema Paese: dobbiamo superare una visione </w:t>
      </w:r>
      <w:proofErr w:type="spellStart"/>
      <w:r w:rsidRPr="006B39BB">
        <w:rPr>
          <w:rFonts w:ascii="Arial Nova" w:hAnsi="Arial Nova" w:cstheme="minorHAnsi"/>
          <w:color w:val="auto"/>
          <w:u w:color="2C363A"/>
        </w:rPr>
        <w:t>immobiliaristica</w:t>
      </w:r>
      <w:proofErr w:type="spellEnd"/>
      <w:r w:rsidRPr="006B39BB">
        <w:rPr>
          <w:rFonts w:ascii="Arial Nova" w:hAnsi="Arial Nova" w:cstheme="minorHAnsi"/>
          <w:color w:val="auto"/>
          <w:u w:color="2C363A"/>
        </w:rPr>
        <w:t xml:space="preserve"> del demanio portuale, l’equazione canone per metro quadro non può più essere centrale, così come i criteri di rivalutazione dei canoni (abbiamo visto cosa hanno generato lo scorso anno).</w:t>
      </w:r>
    </w:p>
    <w:p w14:paraId="5B662876" w14:textId="77777777" w:rsidR="00B16BFC" w:rsidRPr="006B39BB" w:rsidRDefault="007A5B53" w:rsidP="00C1380B">
      <w:pPr>
        <w:pStyle w:val="Paragrafoelenco"/>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 xml:space="preserve">Il Ministero delle Infrastrutture e dei Trasporti deve confermare la sua centralità e con essa l’esercizio delle funzioni di </w:t>
      </w:r>
      <w:r w:rsidR="003F1D2B" w:rsidRPr="006B39BB">
        <w:rPr>
          <w:rFonts w:ascii="Arial Nova" w:hAnsi="Arial Nova" w:cstheme="minorHAnsi"/>
          <w:color w:val="auto"/>
          <w:u w:color="2C363A"/>
        </w:rPr>
        <w:t xml:space="preserve">pianificazione, </w:t>
      </w:r>
      <w:r w:rsidRPr="006B39BB">
        <w:rPr>
          <w:rFonts w:ascii="Arial Nova" w:hAnsi="Arial Nova" w:cstheme="minorHAnsi"/>
          <w:color w:val="auto"/>
          <w:u w:color="2C363A"/>
        </w:rPr>
        <w:t>regolamentazione, vigilanza e controll</w:t>
      </w:r>
      <w:r w:rsidR="003F1D2B" w:rsidRPr="006B39BB">
        <w:rPr>
          <w:rFonts w:ascii="Arial Nova" w:hAnsi="Arial Nova" w:cstheme="minorHAnsi"/>
          <w:color w:val="auto"/>
          <w:u w:color="2C363A"/>
        </w:rPr>
        <w:t>o: se per fare questo è necessaria o utile creare o rafforzare un Ente</w:t>
      </w:r>
      <w:r w:rsidR="00C1380B" w:rsidRPr="006B39BB">
        <w:rPr>
          <w:rFonts w:ascii="Arial Nova" w:hAnsi="Arial Nova" w:cstheme="minorHAnsi"/>
          <w:color w:val="auto"/>
          <w:u w:color="2C363A"/>
        </w:rPr>
        <w:t xml:space="preserve"> - Agenzia</w:t>
      </w:r>
      <w:r w:rsidR="003F1D2B" w:rsidRPr="006B39BB">
        <w:rPr>
          <w:rFonts w:ascii="Arial Nova" w:hAnsi="Arial Nova" w:cstheme="minorHAnsi"/>
          <w:color w:val="auto"/>
          <w:u w:color="2C363A"/>
        </w:rPr>
        <w:t xml:space="preserve"> centrale, che si </w:t>
      </w:r>
      <w:r w:rsidR="00C1380B" w:rsidRPr="006B39BB">
        <w:rPr>
          <w:rFonts w:ascii="Arial Nova" w:hAnsi="Arial Nova" w:cstheme="minorHAnsi"/>
          <w:color w:val="auto"/>
          <w:u w:color="2C363A"/>
        </w:rPr>
        <w:t>proceda velocemente in tal senso</w:t>
      </w:r>
      <w:r w:rsidR="003F1D2B" w:rsidRPr="006B39BB">
        <w:rPr>
          <w:rFonts w:ascii="Arial Nova" w:hAnsi="Arial Nova" w:cstheme="minorHAnsi"/>
          <w:color w:val="auto"/>
          <w:u w:color="2C363A"/>
        </w:rPr>
        <w:t>.</w:t>
      </w:r>
      <w:r w:rsidR="00C1380B" w:rsidRPr="006B39BB">
        <w:rPr>
          <w:rFonts w:ascii="Arial Nova" w:eastAsia="Arial" w:hAnsi="Arial Nova" w:cstheme="minorHAnsi"/>
          <w:color w:val="auto"/>
        </w:rPr>
        <w:t xml:space="preserve"> </w:t>
      </w:r>
    </w:p>
    <w:p w14:paraId="34190741" w14:textId="50250628" w:rsidR="00C1380B" w:rsidRPr="006B39BB" w:rsidRDefault="00B16BFC" w:rsidP="00C1380B">
      <w:pPr>
        <w:pStyle w:val="Paragrafoelenco"/>
        <w:spacing w:line="360" w:lineRule="auto"/>
        <w:ind w:left="0"/>
        <w:jc w:val="both"/>
        <w:rPr>
          <w:rFonts w:ascii="Arial Nova" w:eastAsia="Arial" w:hAnsi="Arial Nova" w:cstheme="minorHAnsi"/>
          <w:color w:val="auto"/>
        </w:rPr>
      </w:pPr>
      <w:r w:rsidRPr="006B39BB">
        <w:rPr>
          <w:rFonts w:ascii="Arial Nova" w:eastAsia="Arial" w:hAnsi="Arial Nova" w:cstheme="minorHAnsi"/>
          <w:color w:val="auto"/>
        </w:rPr>
        <w:t>In quest’ottica, l</w:t>
      </w:r>
      <w:r w:rsidR="00C1380B" w:rsidRPr="006B39BB">
        <w:rPr>
          <w:rFonts w:ascii="Arial Nova" w:eastAsia="Arial" w:hAnsi="Arial Nova" w:cstheme="minorHAnsi"/>
          <w:color w:val="auto"/>
        </w:rPr>
        <w:t xml:space="preserve">a Conferenza nazionale dei presidenti, allargata alle associazioni nazionali maggiormente rappresentative (sul modello della rappresentanza del CCNL) </w:t>
      </w:r>
      <w:r w:rsidRPr="006B39BB">
        <w:rPr>
          <w:rFonts w:ascii="Arial Nova" w:eastAsia="Arial" w:hAnsi="Arial Nova" w:cstheme="minorHAnsi"/>
          <w:color w:val="auto"/>
        </w:rPr>
        <w:t xml:space="preserve">potrebbe finalmente assurgere a soggetto di coordinamento formalizzato </w:t>
      </w:r>
      <w:r w:rsidR="00B11CAE" w:rsidRPr="006B39BB">
        <w:rPr>
          <w:rFonts w:ascii="Arial Nova" w:eastAsia="Arial" w:hAnsi="Arial Nova" w:cstheme="minorHAnsi"/>
          <w:color w:val="auto"/>
        </w:rPr>
        <w:t xml:space="preserve">di una governance </w:t>
      </w:r>
      <w:r w:rsidR="00CD614A" w:rsidRPr="006B39BB">
        <w:rPr>
          <w:rFonts w:ascii="Arial Nova" w:eastAsia="Arial" w:hAnsi="Arial Nova" w:cstheme="minorHAnsi"/>
          <w:color w:val="auto"/>
        </w:rPr>
        <w:t>di sistema centralizzata</w:t>
      </w:r>
      <w:r w:rsidR="005C3713" w:rsidRPr="006B39BB">
        <w:rPr>
          <w:rFonts w:ascii="Arial Nova" w:eastAsia="Arial" w:hAnsi="Arial Nova" w:cstheme="minorHAnsi"/>
          <w:color w:val="auto"/>
        </w:rPr>
        <w:t>.</w:t>
      </w:r>
    </w:p>
    <w:p w14:paraId="545395A9" w14:textId="4CBD7C94" w:rsidR="007A5B53" w:rsidRPr="006B39BB" w:rsidRDefault="007A5B53" w:rsidP="005562FA">
      <w:pPr>
        <w:spacing w:line="360" w:lineRule="auto"/>
        <w:jc w:val="both"/>
        <w:rPr>
          <w:rFonts w:ascii="Arial Nova" w:eastAsia="Arial" w:hAnsi="Arial Nova" w:cstheme="minorHAnsi"/>
          <w:color w:val="auto"/>
          <w:u w:color="2C363A"/>
        </w:rPr>
      </w:pPr>
      <w:r w:rsidRPr="006B39BB">
        <w:rPr>
          <w:rFonts w:ascii="Arial Nova" w:hAnsi="Arial Nova" w:cstheme="minorHAnsi"/>
          <w:color w:val="auto"/>
          <w:u w:color="2C363A"/>
        </w:rPr>
        <w:t xml:space="preserve">Abbiamo bisogno che sia confermata una disciplina specialistica per il nostro settore che valorizzi gli investimenti e la produzione del valore delle aziende e anche degli investimenti pubblici. </w:t>
      </w:r>
    </w:p>
    <w:p w14:paraId="25A152BB" w14:textId="45B09172" w:rsidR="007A5B53" w:rsidRPr="006B39BB" w:rsidRDefault="007A5B53" w:rsidP="005562FA">
      <w:pPr>
        <w:spacing w:line="360" w:lineRule="auto"/>
        <w:jc w:val="both"/>
        <w:rPr>
          <w:rFonts w:ascii="Arial Nova" w:hAnsi="Arial Nova" w:cstheme="minorHAnsi"/>
          <w:color w:val="auto"/>
          <w:u w:color="2C363A"/>
        </w:rPr>
      </w:pPr>
      <w:r w:rsidRPr="006B39BB">
        <w:rPr>
          <w:rFonts w:ascii="Arial Nova" w:hAnsi="Arial Nova" w:cstheme="minorHAnsi"/>
          <w:color w:val="auto"/>
          <w:u w:color="2C363A"/>
        </w:rPr>
        <w:t>La modernizzazione del Sistema necessita di un’assegnazione di compiti e funzioni chiare, di una ripartizione di competenze tra Ministero, ART, ADSP che oggi è squilibrato</w:t>
      </w:r>
      <w:r w:rsidR="003F1D2B" w:rsidRPr="006B39BB">
        <w:rPr>
          <w:rFonts w:ascii="Arial Nova" w:hAnsi="Arial Nova" w:cstheme="minorHAnsi"/>
          <w:color w:val="auto"/>
          <w:u w:color="2C363A"/>
        </w:rPr>
        <w:t>, così come di una razionalizzazione dei compiti e delle funzioni degli enti preposti ai controlli sulle merci e sui passeggeri.</w:t>
      </w:r>
    </w:p>
    <w:p w14:paraId="2917F14B" w14:textId="7F50564E" w:rsidR="006F7CBA" w:rsidRPr="006B39BB" w:rsidRDefault="006F7CBA" w:rsidP="005562FA">
      <w:pPr>
        <w:spacing w:line="360" w:lineRule="auto"/>
        <w:jc w:val="both"/>
        <w:rPr>
          <w:rFonts w:ascii="Arial Nova" w:hAnsi="Arial Nova" w:cstheme="minorHAnsi"/>
          <w:color w:val="auto"/>
          <w:u w:color="2C363A"/>
        </w:rPr>
      </w:pPr>
      <w:r w:rsidRPr="006B39BB">
        <w:rPr>
          <w:rFonts w:ascii="Arial Nova" w:hAnsi="Arial Nova" w:cstheme="minorHAnsi"/>
          <w:color w:val="auto"/>
          <w:u w:color="2C363A"/>
        </w:rPr>
        <w:t xml:space="preserve">Qualunque riforma </w:t>
      </w:r>
      <w:r w:rsidR="006E78BC" w:rsidRPr="006B39BB">
        <w:rPr>
          <w:rFonts w:ascii="Arial Nova" w:hAnsi="Arial Nova" w:cstheme="minorHAnsi"/>
          <w:color w:val="auto"/>
          <w:u w:color="2C363A"/>
        </w:rPr>
        <w:t xml:space="preserve">– in ottica di regia centrale - </w:t>
      </w:r>
      <w:r w:rsidRPr="006B39BB">
        <w:rPr>
          <w:rFonts w:ascii="Arial Nova" w:hAnsi="Arial Nova" w:cstheme="minorHAnsi"/>
          <w:color w:val="auto"/>
          <w:u w:color="2C363A"/>
        </w:rPr>
        <w:t>non può certo stravolgere l’assetto delle concessioni (</w:t>
      </w:r>
      <w:r w:rsidR="000B6454" w:rsidRPr="006B39BB">
        <w:rPr>
          <w:rFonts w:ascii="Arial Nova" w:hAnsi="Arial Nova" w:cstheme="minorHAnsi"/>
          <w:color w:val="auto"/>
          <w:u w:color="2C363A"/>
        </w:rPr>
        <w:t xml:space="preserve">dal punto di vista delle attuali assegnazioni) ma potrebbe guardare </w:t>
      </w:r>
      <w:r w:rsidR="006E78BC" w:rsidRPr="006B39BB">
        <w:rPr>
          <w:rFonts w:ascii="Arial Nova" w:hAnsi="Arial Nova" w:cstheme="minorHAnsi"/>
          <w:color w:val="auto"/>
          <w:u w:color="2C363A"/>
        </w:rPr>
        <w:t xml:space="preserve">anche oltre, come ad esempio </w:t>
      </w:r>
      <w:r w:rsidR="00CE1378" w:rsidRPr="006B39BB">
        <w:rPr>
          <w:rFonts w:ascii="Arial Nova" w:hAnsi="Arial Nova" w:cstheme="minorHAnsi"/>
          <w:color w:val="auto"/>
          <w:u w:color="2C363A"/>
        </w:rPr>
        <w:t>ai temi dell’</w:t>
      </w:r>
      <w:proofErr w:type="spellStart"/>
      <w:r w:rsidR="00CE1378" w:rsidRPr="006B39BB">
        <w:rPr>
          <w:rFonts w:ascii="Arial Nova" w:hAnsi="Arial Nova" w:cstheme="minorHAnsi"/>
          <w:color w:val="auto"/>
          <w:u w:color="2C363A"/>
        </w:rPr>
        <w:t>underwater</w:t>
      </w:r>
      <w:proofErr w:type="spellEnd"/>
      <w:r w:rsidR="006E78BC" w:rsidRPr="006B39BB">
        <w:rPr>
          <w:rFonts w:ascii="Arial Nova" w:hAnsi="Arial Nova" w:cstheme="minorHAnsi"/>
          <w:color w:val="auto"/>
          <w:u w:color="2C363A"/>
        </w:rPr>
        <w:t xml:space="preserve">, dell’offshore e </w:t>
      </w:r>
      <w:r w:rsidR="00306A73" w:rsidRPr="006B39BB">
        <w:rPr>
          <w:rFonts w:ascii="Arial Nova" w:hAnsi="Arial Nova" w:cstheme="minorHAnsi"/>
          <w:color w:val="auto"/>
          <w:u w:color="2C363A"/>
        </w:rPr>
        <w:t>de</w:t>
      </w:r>
      <w:r w:rsidR="00A8320B" w:rsidRPr="006B39BB">
        <w:rPr>
          <w:rFonts w:ascii="Arial Nova" w:hAnsi="Arial Nova" w:cstheme="minorHAnsi"/>
          <w:color w:val="auto"/>
          <w:u w:color="2C363A"/>
        </w:rPr>
        <w:t xml:space="preserve">llo sviluppo di depositi costieri </w:t>
      </w:r>
      <w:r w:rsidR="001876C7" w:rsidRPr="006B39BB">
        <w:rPr>
          <w:rFonts w:ascii="Arial Nova" w:hAnsi="Arial Nova" w:cstheme="minorHAnsi"/>
          <w:color w:val="auto"/>
          <w:u w:color="2C363A"/>
        </w:rPr>
        <w:t xml:space="preserve">ovvero il mondo variegato che si svilupperà intorno alla transizione energetica. </w:t>
      </w:r>
    </w:p>
    <w:p w14:paraId="32DBB42B" w14:textId="0635E9E3" w:rsidR="003F1D2B" w:rsidRPr="006B39BB" w:rsidRDefault="006B39BB" w:rsidP="005562FA">
      <w:pPr>
        <w:spacing w:line="360" w:lineRule="auto"/>
        <w:jc w:val="both"/>
        <w:rPr>
          <w:rFonts w:ascii="Arial Nova" w:hAnsi="Arial Nova" w:cstheme="minorHAnsi"/>
          <w:b/>
          <w:bCs/>
          <w:color w:val="2C363A"/>
          <w:sz w:val="28"/>
          <w:szCs w:val="28"/>
          <w:u w:color="2C363A"/>
        </w:rPr>
      </w:pPr>
      <w:r>
        <w:rPr>
          <w:rFonts w:ascii="Arial Nova" w:hAnsi="Arial Nova" w:cstheme="minorHAnsi"/>
          <w:b/>
          <w:bCs/>
          <w:color w:val="2C363A"/>
          <w:sz w:val="28"/>
          <w:szCs w:val="28"/>
          <w:u w:color="2C363A"/>
        </w:rPr>
        <w:t xml:space="preserve">2.1) </w:t>
      </w:r>
      <w:r w:rsidR="003F1D2B" w:rsidRPr="006B39BB">
        <w:rPr>
          <w:rFonts w:ascii="Arial Nova" w:hAnsi="Arial Nova" w:cstheme="minorHAnsi"/>
          <w:b/>
          <w:bCs/>
          <w:color w:val="2C363A"/>
          <w:sz w:val="28"/>
          <w:szCs w:val="28"/>
          <w:u w:color="2C363A"/>
        </w:rPr>
        <w:t>PROPOSTE</w:t>
      </w:r>
    </w:p>
    <w:p w14:paraId="2B2FCCD2" w14:textId="21C8A000" w:rsidR="003F1D2B" w:rsidRPr="006B39BB" w:rsidRDefault="003F1D2B"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eastAsia="Arial" w:hAnsi="Arial Nova" w:cstheme="minorHAnsi"/>
          <w:color w:val="auto"/>
        </w:rPr>
        <w:t>La portualità è un tema strategico per il sistema produttivo nazionale e come tale deve essere gestito con una visione e processi di derivazione governativa e non locale.</w:t>
      </w:r>
    </w:p>
    <w:p w14:paraId="0C4915C3" w14:textId="0EC234D7" w:rsidR="00826F6D" w:rsidRPr="006B39BB" w:rsidRDefault="003F1D2B"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I</w:t>
      </w:r>
      <w:r w:rsidR="00826F6D" w:rsidRPr="006B39BB">
        <w:rPr>
          <w:rFonts w:ascii="Arial Nova" w:hAnsi="Arial Nova" w:cstheme="minorHAnsi"/>
          <w:color w:val="auto"/>
          <w:u w:color="2C363A"/>
        </w:rPr>
        <w:t>l Comitato di Gestione</w:t>
      </w:r>
      <w:r w:rsidR="004A58BD" w:rsidRPr="006B39BB">
        <w:rPr>
          <w:rFonts w:ascii="Arial Nova" w:hAnsi="Arial Nova" w:cstheme="minorHAnsi"/>
          <w:color w:val="auto"/>
          <w:u w:color="2C363A"/>
        </w:rPr>
        <w:t xml:space="preserve"> </w:t>
      </w:r>
      <w:r w:rsidR="00EF4EC5" w:rsidRPr="006B39BB">
        <w:rPr>
          <w:rFonts w:ascii="Arial Nova" w:hAnsi="Arial Nova" w:cstheme="minorHAnsi"/>
          <w:color w:val="auto"/>
          <w:u w:color="2C363A"/>
        </w:rPr>
        <w:t>delle ADSP</w:t>
      </w:r>
      <w:r w:rsidR="00826F6D" w:rsidRPr="006B39BB">
        <w:rPr>
          <w:rFonts w:ascii="Arial Nova" w:hAnsi="Arial Nova" w:cstheme="minorHAnsi"/>
          <w:color w:val="auto"/>
          <w:u w:color="2C363A"/>
        </w:rPr>
        <w:t xml:space="preserve"> dovrebbe essere assimilato a una conferenza di servizi in cui ogni Ente si pronuncia una sola volta.</w:t>
      </w:r>
    </w:p>
    <w:p w14:paraId="7919A6BD" w14:textId="77777777" w:rsidR="00A60B29" w:rsidRPr="006B39BB" w:rsidRDefault="00826F6D" w:rsidP="009C45AB">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I Presidenti dovrebbero durare in carica per un periodo superiore ai 4 anni, avere tutele legali rafforzate, scegliere il proprio Segretario generale e poter gestire una struttura con strumenti (come il CCNL) di diritto del lavoro privatistico, con conseguenti maggiori possibilità di affidare in outsourcing attività consulenziali e di progetto.</w:t>
      </w:r>
    </w:p>
    <w:p w14:paraId="3C388C7B" w14:textId="17F398A3" w:rsidR="00826F6D" w:rsidRPr="006B39BB" w:rsidRDefault="00826F6D" w:rsidP="009C45AB">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 xml:space="preserve">Il Piano nazionale della </w:t>
      </w:r>
      <w:r w:rsidR="002D5C02" w:rsidRPr="006B39BB">
        <w:rPr>
          <w:rFonts w:ascii="Arial Nova" w:hAnsi="Arial Nova" w:cstheme="minorHAnsi"/>
          <w:color w:val="auto"/>
          <w:u w:color="2C363A"/>
        </w:rPr>
        <w:t xml:space="preserve">logistica e della </w:t>
      </w:r>
      <w:r w:rsidRPr="006B39BB">
        <w:rPr>
          <w:rFonts w:ascii="Arial Nova" w:hAnsi="Arial Nova" w:cstheme="minorHAnsi"/>
          <w:color w:val="auto"/>
          <w:u w:color="2C363A"/>
        </w:rPr>
        <w:t>portualità dovrebbe essere aggiornato ogni 3 anni e essere lo strumento utile alla pianificazione degli interventi e dell’utilizzo delle risorse a livello nazionale</w:t>
      </w:r>
    </w:p>
    <w:p w14:paraId="43926B0C" w14:textId="2D6EA12A" w:rsidR="00826F6D" w:rsidRPr="006B39BB" w:rsidRDefault="00826F6D"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lastRenderedPageBreak/>
        <w:t>Deve essere chiara e rafforzata la funzione dei PRP: evidente che dett</w:t>
      </w:r>
      <w:r w:rsidR="002D5C02" w:rsidRPr="006B39BB">
        <w:rPr>
          <w:rFonts w:ascii="Arial Nova" w:hAnsi="Arial Nova" w:cstheme="minorHAnsi"/>
          <w:color w:val="auto"/>
          <w:u w:color="2C363A"/>
        </w:rPr>
        <w:t>i</w:t>
      </w:r>
      <w:r w:rsidRPr="006B39BB">
        <w:rPr>
          <w:rFonts w:ascii="Arial Nova" w:hAnsi="Arial Nova" w:cstheme="minorHAnsi"/>
          <w:color w:val="auto"/>
          <w:u w:color="2C363A"/>
        </w:rPr>
        <w:t xml:space="preserve"> strument</w:t>
      </w:r>
      <w:r w:rsidR="002D5C02" w:rsidRPr="006B39BB">
        <w:rPr>
          <w:rFonts w:ascii="Arial Nova" w:hAnsi="Arial Nova" w:cstheme="minorHAnsi"/>
          <w:color w:val="auto"/>
          <w:u w:color="2C363A"/>
        </w:rPr>
        <w:t>i</w:t>
      </w:r>
      <w:r w:rsidRPr="006B39BB">
        <w:rPr>
          <w:rFonts w:ascii="Arial Nova" w:hAnsi="Arial Nova" w:cstheme="minorHAnsi"/>
          <w:color w:val="auto"/>
          <w:u w:color="2C363A"/>
        </w:rPr>
        <w:t xml:space="preserve"> dev</w:t>
      </w:r>
      <w:r w:rsidR="002D5C02" w:rsidRPr="006B39BB">
        <w:rPr>
          <w:rFonts w:ascii="Arial Nova" w:hAnsi="Arial Nova" w:cstheme="minorHAnsi"/>
          <w:color w:val="auto"/>
          <w:u w:color="2C363A"/>
        </w:rPr>
        <w:t>ono</w:t>
      </w:r>
      <w:r w:rsidRPr="006B39BB">
        <w:rPr>
          <w:rFonts w:ascii="Arial Nova" w:hAnsi="Arial Nova" w:cstheme="minorHAnsi"/>
          <w:color w:val="auto"/>
          <w:u w:color="2C363A"/>
        </w:rPr>
        <w:t xml:space="preserve"> essere aggiornat</w:t>
      </w:r>
      <w:r w:rsidR="002D5C02" w:rsidRPr="006B39BB">
        <w:rPr>
          <w:rFonts w:ascii="Arial Nova" w:hAnsi="Arial Nova" w:cstheme="minorHAnsi"/>
          <w:color w:val="auto"/>
          <w:u w:color="2C363A"/>
        </w:rPr>
        <w:t>i</w:t>
      </w:r>
      <w:r w:rsidR="007E6184" w:rsidRPr="006B39BB">
        <w:rPr>
          <w:rFonts w:ascii="Arial Nova" w:hAnsi="Arial Nova" w:cstheme="minorHAnsi"/>
          <w:color w:val="auto"/>
          <w:u w:color="2C363A"/>
        </w:rPr>
        <w:t xml:space="preserve"> periodicamente e valutat</w:t>
      </w:r>
      <w:r w:rsidR="002D5C02" w:rsidRPr="006B39BB">
        <w:rPr>
          <w:rFonts w:ascii="Arial Nova" w:hAnsi="Arial Nova" w:cstheme="minorHAnsi"/>
          <w:color w:val="auto"/>
          <w:u w:color="2C363A"/>
        </w:rPr>
        <w:t>i</w:t>
      </w:r>
      <w:r w:rsidR="007E6184" w:rsidRPr="006B39BB">
        <w:rPr>
          <w:rFonts w:ascii="Arial Nova" w:hAnsi="Arial Nova" w:cstheme="minorHAnsi"/>
          <w:color w:val="auto"/>
          <w:u w:color="2C363A"/>
        </w:rPr>
        <w:t xml:space="preserve"> dal centro per renderl</w:t>
      </w:r>
      <w:r w:rsidR="002D5C02" w:rsidRPr="006B39BB">
        <w:rPr>
          <w:rFonts w:ascii="Arial Nova" w:hAnsi="Arial Nova" w:cstheme="minorHAnsi"/>
          <w:color w:val="auto"/>
          <w:u w:color="2C363A"/>
        </w:rPr>
        <w:t>i</w:t>
      </w:r>
      <w:r w:rsidR="007E6184" w:rsidRPr="006B39BB">
        <w:rPr>
          <w:rFonts w:ascii="Arial Nova" w:hAnsi="Arial Nova" w:cstheme="minorHAnsi"/>
          <w:color w:val="auto"/>
          <w:u w:color="2C363A"/>
        </w:rPr>
        <w:t xml:space="preserve"> uniformi a una programmazione nazionale, non locale</w:t>
      </w:r>
      <w:r w:rsidR="002D5C02" w:rsidRPr="006B39BB">
        <w:rPr>
          <w:rFonts w:ascii="Arial Nova" w:hAnsi="Arial Nova" w:cstheme="minorHAnsi"/>
          <w:color w:val="auto"/>
          <w:u w:color="2C363A"/>
        </w:rPr>
        <w:t xml:space="preserve"> (vedi punto precedente)</w:t>
      </w:r>
    </w:p>
    <w:p w14:paraId="6476CC54" w14:textId="773736A7" w:rsidR="00826F6D" w:rsidRPr="006B39BB" w:rsidRDefault="00826F6D"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Deve essere chiar</w:t>
      </w:r>
      <w:r w:rsidR="007E6184" w:rsidRPr="006B39BB">
        <w:rPr>
          <w:rFonts w:ascii="Arial Nova" w:hAnsi="Arial Nova" w:cstheme="minorHAnsi"/>
          <w:color w:val="auto"/>
          <w:u w:color="2C363A"/>
        </w:rPr>
        <w:t>a</w:t>
      </w:r>
      <w:r w:rsidRPr="006B39BB">
        <w:rPr>
          <w:rFonts w:ascii="Arial Nova" w:hAnsi="Arial Nova" w:cstheme="minorHAnsi"/>
          <w:color w:val="auto"/>
          <w:u w:color="2C363A"/>
        </w:rPr>
        <w:t xml:space="preserve"> la funzione di regolazione delle ADSP, distinta da quella di impresa, attraverso strumenti </w:t>
      </w:r>
      <w:r w:rsidR="007E6184" w:rsidRPr="006B39BB">
        <w:rPr>
          <w:rFonts w:ascii="Arial Nova" w:hAnsi="Arial Nova" w:cstheme="minorHAnsi"/>
          <w:color w:val="auto"/>
          <w:u w:color="2C363A"/>
        </w:rPr>
        <w:t>che lo consentano (peraltro già esistenti e adottabili) senza stravolgerne la natura giuridica</w:t>
      </w:r>
      <w:r w:rsidR="002D5C02" w:rsidRPr="006B39BB">
        <w:rPr>
          <w:rFonts w:ascii="Arial Nova" w:hAnsi="Arial Nova" w:cstheme="minorHAnsi"/>
          <w:color w:val="auto"/>
          <w:u w:color="2C363A"/>
        </w:rPr>
        <w:t>.</w:t>
      </w:r>
    </w:p>
    <w:p w14:paraId="3A407C73" w14:textId="6ED107DC" w:rsidR="00694354" w:rsidRPr="006B39BB" w:rsidRDefault="00694354"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Lo shift modale verso il trasporto ferroviario</w:t>
      </w:r>
      <w:r w:rsidR="006C247E" w:rsidRPr="006B39BB">
        <w:rPr>
          <w:rFonts w:ascii="Arial Nova" w:hAnsi="Arial Nova" w:cstheme="minorHAnsi"/>
          <w:color w:val="auto"/>
          <w:u w:color="2C363A"/>
        </w:rPr>
        <w:t xml:space="preserve"> o verso altre forme di trasporto sostenibili</w:t>
      </w:r>
      <w:r w:rsidR="00DE4673" w:rsidRPr="006B39BB">
        <w:rPr>
          <w:rFonts w:ascii="Arial Nova" w:hAnsi="Arial Nova" w:cstheme="minorHAnsi"/>
          <w:color w:val="auto"/>
          <w:u w:color="2C363A"/>
        </w:rPr>
        <w:t xml:space="preserve"> </w:t>
      </w:r>
      <w:r w:rsidRPr="006B39BB">
        <w:rPr>
          <w:rFonts w:ascii="Arial Nova" w:hAnsi="Arial Nova" w:cstheme="minorHAnsi"/>
          <w:color w:val="auto"/>
          <w:u w:color="2C363A"/>
        </w:rPr>
        <w:t>dovrebbe essere incentivato attraverso</w:t>
      </w:r>
      <w:r w:rsidR="00DE4673" w:rsidRPr="006B39BB">
        <w:rPr>
          <w:rFonts w:ascii="Arial Nova" w:hAnsi="Arial Nova" w:cstheme="minorHAnsi"/>
          <w:color w:val="auto"/>
          <w:u w:color="2C363A"/>
        </w:rPr>
        <w:t xml:space="preserve"> incentivi parametrati al</w:t>
      </w:r>
      <w:r w:rsidRPr="006B39BB">
        <w:rPr>
          <w:rFonts w:ascii="Arial Nova" w:hAnsi="Arial Nova" w:cstheme="minorHAnsi"/>
          <w:color w:val="auto"/>
          <w:u w:color="2C363A"/>
        </w:rPr>
        <w:t xml:space="preserve">l’adozione di metriche misurabili </w:t>
      </w:r>
      <w:r w:rsidR="00DE4673" w:rsidRPr="006B39BB">
        <w:rPr>
          <w:rFonts w:ascii="Arial Nova" w:hAnsi="Arial Nova" w:cstheme="minorHAnsi"/>
          <w:color w:val="auto"/>
          <w:u w:color="2C363A"/>
        </w:rPr>
        <w:t>(le norme ad oggi vigenti sono inattuate anche in quanto prive di criteri misurabili)</w:t>
      </w:r>
    </w:p>
    <w:p w14:paraId="5DA17AF6" w14:textId="6FFD624D" w:rsidR="00DE4673" w:rsidRPr="006B39BB" w:rsidRDefault="00694354"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 xml:space="preserve">Il </w:t>
      </w:r>
      <w:r w:rsidRPr="006B39BB">
        <w:rPr>
          <w:rFonts w:ascii="Arial Nova" w:hAnsi="Arial Nova" w:cstheme="minorHAnsi"/>
          <w:b/>
          <w:bCs/>
          <w:color w:val="auto"/>
          <w:u w:color="2C363A"/>
        </w:rPr>
        <w:t>regolamento sulle concessioni</w:t>
      </w:r>
      <w:r w:rsidRPr="006B39BB">
        <w:rPr>
          <w:rFonts w:ascii="Arial Nova" w:hAnsi="Arial Nova" w:cstheme="minorHAnsi"/>
          <w:color w:val="auto"/>
          <w:u w:color="2C363A"/>
        </w:rPr>
        <w:t xml:space="preserve"> e le linee guida applicative vanno ripresi. Il regolamento deve essere uno e uguale per tutte le portualità; le linee guida devono essere riformulate utilizzando criteri (ad esempio quello per il calcolo del WACC) adeguati al nostro sistema produttivo (non, ad esempio, ai meccanismi delle concessioni autostradali in cui la tariffa è regolata e remunera gli investimenti). La portualità vive di dinamiche di mercato in un contesto di traffici internazionali in cui le politiche tariffarie hanno dinamiche negoziali.</w:t>
      </w:r>
      <w:r w:rsidR="002E0967" w:rsidRPr="006B39BB">
        <w:rPr>
          <w:rFonts w:ascii="Arial Nova" w:hAnsi="Arial Nova" w:cstheme="minorHAnsi"/>
          <w:color w:val="auto"/>
          <w:u w:color="2C363A"/>
        </w:rPr>
        <w:t xml:space="preserve"> Contemporaneamente vanno aboliti i regolamenti concessioni locali delle ADSP.</w:t>
      </w:r>
    </w:p>
    <w:p w14:paraId="5F8EDE77" w14:textId="5210D688" w:rsidR="0076172A" w:rsidRPr="006B39BB" w:rsidRDefault="0076172A"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 xml:space="preserve">Stesso discorso vale per la redazione del bilancio (o dei bilanci): </w:t>
      </w:r>
      <w:r w:rsidR="000A2243" w:rsidRPr="006B39BB">
        <w:rPr>
          <w:rFonts w:ascii="Arial Nova" w:hAnsi="Arial Nova" w:cstheme="minorHAnsi"/>
          <w:color w:val="auto"/>
          <w:u w:color="2C363A"/>
        </w:rPr>
        <w:t>opportuno procedere a un’</w:t>
      </w:r>
      <w:r w:rsidR="006C247E" w:rsidRPr="006B39BB">
        <w:rPr>
          <w:rFonts w:ascii="Arial Nova" w:hAnsi="Arial Nova" w:cstheme="minorHAnsi"/>
          <w:color w:val="auto"/>
          <w:u w:color="2C363A"/>
        </w:rPr>
        <w:t>u</w:t>
      </w:r>
      <w:r w:rsidR="000A2243" w:rsidRPr="006B39BB">
        <w:rPr>
          <w:rFonts w:ascii="Arial Nova" w:hAnsi="Arial Nova" w:cstheme="minorHAnsi"/>
          <w:color w:val="auto"/>
          <w:u w:color="2C363A"/>
        </w:rPr>
        <w:t>nica linea guida che standardizzi sia la parte “amministrat</w:t>
      </w:r>
      <w:r w:rsidR="004F72AA" w:rsidRPr="006B39BB">
        <w:rPr>
          <w:rFonts w:ascii="Arial Nova" w:hAnsi="Arial Nova" w:cstheme="minorHAnsi"/>
          <w:color w:val="auto"/>
          <w:u w:color="2C363A"/>
        </w:rPr>
        <w:t>iva” che quella “commerciale”</w:t>
      </w:r>
    </w:p>
    <w:p w14:paraId="7E774AA4" w14:textId="77777777" w:rsidR="0012071D" w:rsidRPr="006B39BB" w:rsidRDefault="00DE4673" w:rsidP="005562FA">
      <w:pPr>
        <w:pStyle w:val="Paragrafoelenco"/>
        <w:numPr>
          <w:ilvl w:val="0"/>
          <w:numId w:val="2"/>
        </w:numPr>
        <w:spacing w:line="360" w:lineRule="auto"/>
        <w:ind w:left="0"/>
        <w:jc w:val="both"/>
        <w:rPr>
          <w:rFonts w:ascii="Arial Nova" w:eastAsia="Arial" w:hAnsi="Arial Nova" w:cstheme="minorHAnsi"/>
          <w:color w:val="auto"/>
        </w:rPr>
      </w:pPr>
      <w:r w:rsidRPr="006B39BB">
        <w:rPr>
          <w:rFonts w:ascii="Arial Nova" w:hAnsi="Arial Nova" w:cstheme="minorHAnsi"/>
          <w:color w:val="auto"/>
          <w:u w:color="2C363A"/>
        </w:rPr>
        <w:t>A mero titolo di esempio i criteri cd “premianti” che concorrono alla determinazione dell’assegnazione di una concessione dovrebbero essere misurabili:</w:t>
      </w:r>
    </w:p>
    <w:p w14:paraId="612FB0BB" w14:textId="77777777" w:rsidR="0012071D" w:rsidRPr="006B39BB" w:rsidRDefault="00DE4673" w:rsidP="005562FA">
      <w:pPr>
        <w:pStyle w:val="Paragrafoelenco"/>
        <w:numPr>
          <w:ilvl w:val="0"/>
          <w:numId w:val="6"/>
        </w:numPr>
        <w:spacing w:line="360" w:lineRule="auto"/>
        <w:ind w:left="0"/>
        <w:jc w:val="both"/>
        <w:rPr>
          <w:rFonts w:ascii="Arial Nova" w:hAnsi="Arial Nova" w:cstheme="minorHAnsi"/>
          <w:color w:val="auto"/>
          <w:u w:color="2C363A"/>
        </w:rPr>
      </w:pPr>
      <w:r w:rsidRPr="006B39BB">
        <w:rPr>
          <w:rFonts w:ascii="Arial Nova" w:hAnsi="Arial Nova" w:cstheme="minorHAnsi"/>
          <w:color w:val="auto"/>
          <w:u w:color="2C363A"/>
        </w:rPr>
        <w:t xml:space="preserve">l’adozione di sistemi di gestione sulla sicurezza, </w:t>
      </w:r>
    </w:p>
    <w:p w14:paraId="745ADE73" w14:textId="712AC190" w:rsidR="00CE5CAD" w:rsidRPr="006B39BB" w:rsidRDefault="00DE4673" w:rsidP="005562FA">
      <w:pPr>
        <w:pStyle w:val="Paragrafoelenco"/>
        <w:numPr>
          <w:ilvl w:val="0"/>
          <w:numId w:val="6"/>
        </w:numPr>
        <w:spacing w:line="360" w:lineRule="auto"/>
        <w:ind w:left="0"/>
        <w:jc w:val="both"/>
        <w:rPr>
          <w:rFonts w:ascii="Arial Nova" w:hAnsi="Arial Nova" w:cstheme="minorHAnsi"/>
          <w:color w:val="auto"/>
          <w:u w:color="2C363A"/>
        </w:rPr>
      </w:pPr>
      <w:r w:rsidRPr="006B39BB">
        <w:rPr>
          <w:rFonts w:ascii="Arial Nova" w:hAnsi="Arial Nova" w:cstheme="minorHAnsi"/>
          <w:color w:val="auto"/>
          <w:u w:color="2C363A"/>
        </w:rPr>
        <w:t xml:space="preserve">la riduzione delle emissioni attraverso meccanismi di misurazione del carbon foot </w:t>
      </w:r>
      <w:proofErr w:type="spellStart"/>
      <w:r w:rsidRPr="006B39BB">
        <w:rPr>
          <w:rFonts w:ascii="Arial Nova" w:hAnsi="Arial Nova" w:cstheme="minorHAnsi"/>
          <w:color w:val="auto"/>
          <w:u w:color="2C363A"/>
        </w:rPr>
        <w:t>print</w:t>
      </w:r>
      <w:proofErr w:type="spellEnd"/>
      <w:r w:rsidRPr="006B39BB">
        <w:rPr>
          <w:rFonts w:ascii="Arial Nova" w:hAnsi="Arial Nova" w:cstheme="minorHAnsi"/>
          <w:color w:val="auto"/>
          <w:u w:color="2C363A"/>
        </w:rPr>
        <w:t xml:space="preserve"> (tassonomia)</w:t>
      </w:r>
      <w:r w:rsidR="006C247E" w:rsidRPr="006B39BB">
        <w:rPr>
          <w:rFonts w:ascii="Arial Nova" w:hAnsi="Arial Nova" w:cstheme="minorHAnsi"/>
          <w:color w:val="auto"/>
          <w:u w:color="2C363A"/>
        </w:rPr>
        <w:t xml:space="preserve"> per i terminal merci</w:t>
      </w:r>
      <w:r w:rsidRPr="006B39BB">
        <w:rPr>
          <w:rFonts w:ascii="Arial Nova" w:hAnsi="Arial Nova" w:cstheme="minorHAnsi"/>
          <w:color w:val="auto"/>
          <w:u w:color="2C363A"/>
        </w:rPr>
        <w:t>. Criteri trasparenti e misurabili</w:t>
      </w:r>
      <w:r w:rsidR="0012071D" w:rsidRPr="006B39BB">
        <w:rPr>
          <w:rFonts w:ascii="Arial Nova" w:hAnsi="Arial Nova" w:cstheme="minorHAnsi"/>
          <w:color w:val="auto"/>
          <w:u w:color="2C363A"/>
        </w:rPr>
        <w:t xml:space="preserve"> (</w:t>
      </w:r>
      <w:r w:rsidR="0012071D" w:rsidRPr="006B39BB">
        <w:rPr>
          <w:rFonts w:ascii="Arial Nova" w:eastAsia="Times New Roman" w:hAnsi="Arial Nova" w:cstheme="minorHAnsi"/>
          <w:color w:val="auto"/>
        </w:rPr>
        <w:t>l’indicatore della CO2 complessiva evitata)</w:t>
      </w:r>
    </w:p>
    <w:p w14:paraId="7000345D" w14:textId="0783C79A" w:rsidR="0012071D" w:rsidRPr="006B39BB" w:rsidRDefault="0012071D" w:rsidP="005562FA">
      <w:pPr>
        <w:pStyle w:val="Paragrafoelenco"/>
        <w:numPr>
          <w:ilvl w:val="0"/>
          <w:numId w:val="12"/>
        </w:numPr>
        <w:spacing w:line="360" w:lineRule="auto"/>
        <w:ind w:left="0"/>
        <w:jc w:val="both"/>
        <w:rPr>
          <w:rFonts w:ascii="Arial Nova" w:hAnsi="Arial Nova" w:cstheme="minorHAnsi"/>
          <w:color w:val="auto"/>
          <w:u w:color="2C363A"/>
        </w:rPr>
      </w:pPr>
      <w:r w:rsidRPr="006B39BB">
        <w:rPr>
          <w:rFonts w:ascii="Arial Nova" w:hAnsi="Arial Nova" w:cstheme="minorHAnsi"/>
          <w:color w:val="auto"/>
        </w:rPr>
        <w:t xml:space="preserve">Valutare </w:t>
      </w:r>
      <w:r w:rsidR="00CE5CAD" w:rsidRPr="006B39BB">
        <w:rPr>
          <w:rFonts w:ascii="Arial Nova" w:hAnsi="Arial Nova" w:cstheme="minorHAnsi"/>
          <w:color w:val="auto"/>
        </w:rPr>
        <w:t xml:space="preserve">un diverso modello di “governance” per i servizi tecnico nautici in quanto funzionali all’efficienza dei porti: i sistemi tariffari e i processi di affidamento potrebbero essere maggiormente oggetto di una </w:t>
      </w:r>
      <w:r w:rsidR="007643C0" w:rsidRPr="006B39BB">
        <w:rPr>
          <w:rFonts w:ascii="Arial Nova" w:hAnsi="Arial Nova" w:cstheme="minorHAnsi"/>
          <w:color w:val="auto"/>
        </w:rPr>
        <w:t>centralizzazione dei criteri e dei relativi processi ovvero diversamente regolati e regolamentati da parte delle ADSP in coordinamento con il centro</w:t>
      </w:r>
      <w:r w:rsidR="00F75BFF" w:rsidRPr="006B39BB">
        <w:rPr>
          <w:rFonts w:ascii="Arial Nova" w:hAnsi="Arial Nova" w:cstheme="minorHAnsi"/>
          <w:color w:val="auto"/>
        </w:rPr>
        <w:t>.</w:t>
      </w:r>
    </w:p>
    <w:p w14:paraId="71199E9E" w14:textId="13C13952" w:rsidR="00F75BFF" w:rsidRPr="006B39BB" w:rsidRDefault="00F75BFF" w:rsidP="005562FA">
      <w:pPr>
        <w:pStyle w:val="Paragrafoelenco"/>
        <w:numPr>
          <w:ilvl w:val="0"/>
          <w:numId w:val="12"/>
        </w:numPr>
        <w:spacing w:line="360" w:lineRule="auto"/>
        <w:ind w:left="0"/>
        <w:jc w:val="both"/>
        <w:rPr>
          <w:rFonts w:ascii="Arial Nova" w:hAnsi="Arial Nova" w:cstheme="minorHAnsi"/>
          <w:color w:val="auto"/>
          <w:u w:color="2C363A"/>
        </w:rPr>
      </w:pPr>
      <w:r w:rsidRPr="006B39BB">
        <w:rPr>
          <w:rFonts w:ascii="Arial Nova" w:hAnsi="Arial Nova" w:cstheme="minorHAnsi"/>
          <w:color w:val="auto"/>
        </w:rPr>
        <w:t>Affermare il pri</w:t>
      </w:r>
      <w:r w:rsidR="009402B2" w:rsidRPr="006B39BB">
        <w:rPr>
          <w:rFonts w:ascii="Arial Nova" w:hAnsi="Arial Nova" w:cstheme="minorHAnsi"/>
          <w:color w:val="auto"/>
        </w:rPr>
        <w:t>ncipio</w:t>
      </w:r>
      <w:r w:rsidRPr="006B39BB">
        <w:rPr>
          <w:rFonts w:ascii="Arial Nova" w:hAnsi="Arial Nova" w:cstheme="minorHAnsi"/>
          <w:color w:val="auto"/>
        </w:rPr>
        <w:t xml:space="preserve"> in base al quale le ADSP possono concorrere (direttamente o meno) all</w:t>
      </w:r>
      <w:r w:rsidR="00422A3B" w:rsidRPr="006B39BB">
        <w:rPr>
          <w:rFonts w:ascii="Arial Nova" w:hAnsi="Arial Nova" w:cstheme="minorHAnsi"/>
          <w:color w:val="auto"/>
        </w:rPr>
        <w:t xml:space="preserve">’acquisizione, anche in forme di compartecipazione, di asset </w:t>
      </w:r>
      <w:r w:rsidR="00EF6315" w:rsidRPr="006B39BB">
        <w:rPr>
          <w:rFonts w:ascii="Arial Nova" w:hAnsi="Arial Nova" w:cstheme="minorHAnsi"/>
          <w:color w:val="auto"/>
        </w:rPr>
        <w:t xml:space="preserve">e servizi </w:t>
      </w:r>
      <w:r w:rsidR="00422A3B" w:rsidRPr="006B39BB">
        <w:rPr>
          <w:rFonts w:ascii="Arial Nova" w:hAnsi="Arial Nova" w:cstheme="minorHAnsi"/>
          <w:color w:val="auto"/>
        </w:rPr>
        <w:t>logistici diversi dal porto</w:t>
      </w:r>
    </w:p>
    <w:p w14:paraId="3ADF05AD" w14:textId="77777777" w:rsidR="0012071D" w:rsidRPr="005258F4" w:rsidRDefault="0012071D" w:rsidP="005562FA">
      <w:pPr>
        <w:pStyle w:val="Paragrafoelenco"/>
        <w:spacing w:line="360" w:lineRule="auto"/>
        <w:ind w:left="0"/>
        <w:jc w:val="both"/>
        <w:rPr>
          <w:rFonts w:ascii="Arial Nova" w:hAnsi="Arial Nova" w:cstheme="minorHAnsi"/>
          <w:color w:val="auto"/>
          <w:sz w:val="16"/>
          <w:szCs w:val="16"/>
        </w:rPr>
      </w:pPr>
    </w:p>
    <w:p w14:paraId="362D7560" w14:textId="1C389A02" w:rsidR="007A5B53" w:rsidRPr="006B39BB" w:rsidRDefault="00694354" w:rsidP="005562FA">
      <w:pPr>
        <w:spacing w:line="360" w:lineRule="auto"/>
        <w:jc w:val="both"/>
        <w:rPr>
          <w:rFonts w:ascii="Arial Nova" w:hAnsi="Arial Nova" w:cstheme="minorHAnsi"/>
          <w:color w:val="auto"/>
        </w:rPr>
      </w:pPr>
      <w:r w:rsidRPr="006B39BB">
        <w:rPr>
          <w:rFonts w:ascii="Arial Nova" w:hAnsi="Arial Nova" w:cstheme="minorHAnsi"/>
          <w:b/>
          <w:bCs/>
          <w:color w:val="auto"/>
        </w:rPr>
        <w:t>G</w:t>
      </w:r>
      <w:r w:rsidR="007A5B53" w:rsidRPr="006B39BB">
        <w:rPr>
          <w:rFonts w:ascii="Arial Nova" w:hAnsi="Arial Nova" w:cstheme="minorHAnsi"/>
          <w:b/>
          <w:bCs/>
          <w:color w:val="auto"/>
        </w:rPr>
        <w:t>overnance</w:t>
      </w:r>
      <w:r w:rsidR="007A5B53" w:rsidRPr="006B39BB">
        <w:rPr>
          <w:rFonts w:ascii="Arial Nova" w:hAnsi="Arial Nova" w:cstheme="minorHAnsi"/>
          <w:color w:val="auto"/>
        </w:rPr>
        <w:t xml:space="preserve"> vuol dire avere una visione chiara nell’assegnazione e nell’utilizzo di un asse strategico come quello portuale, guardando oltre in tema di investimenti infrastrutturali, guardando alle dinamiche dei mercati dei traffici, alla concorrenzialità dei vettori e quindi degli asset logistici che da e per i porti si muovono.</w:t>
      </w:r>
      <w:r w:rsidRPr="006B39BB">
        <w:rPr>
          <w:rFonts w:ascii="Arial Nova" w:hAnsi="Arial Nova" w:cstheme="minorHAnsi"/>
          <w:color w:val="auto"/>
        </w:rPr>
        <w:t xml:space="preserve"> In sintesi, concorrenzialità si verso le portualità di altri paesi, non interna e con regole di ingaggio e regolazione della concorrenza (anche tra operatori) che preservi l’equilibrio nella gestione/concessione degli asset.</w:t>
      </w:r>
    </w:p>
    <w:p w14:paraId="5A51EB7C" w14:textId="77777777" w:rsidR="00F92F0E" w:rsidRPr="005258F4" w:rsidRDefault="00F92F0E" w:rsidP="005562FA">
      <w:pPr>
        <w:spacing w:line="360" w:lineRule="auto"/>
        <w:jc w:val="both"/>
        <w:rPr>
          <w:rFonts w:ascii="Arial Nova" w:hAnsi="Arial Nova" w:cstheme="minorHAnsi"/>
          <w:color w:val="auto"/>
          <w:sz w:val="16"/>
          <w:szCs w:val="16"/>
        </w:rPr>
      </w:pPr>
    </w:p>
    <w:p w14:paraId="159F5667" w14:textId="0069A124" w:rsidR="005562FA" w:rsidRPr="006B39BB" w:rsidRDefault="005562FA" w:rsidP="005562FA">
      <w:pPr>
        <w:spacing w:line="360" w:lineRule="auto"/>
        <w:jc w:val="both"/>
        <w:rPr>
          <w:rFonts w:ascii="Arial Nova" w:hAnsi="Arial Nova" w:cstheme="minorHAnsi"/>
          <w:color w:val="auto"/>
        </w:rPr>
      </w:pPr>
      <w:r w:rsidRPr="006B39BB">
        <w:rPr>
          <w:rFonts w:ascii="Arial Nova" w:hAnsi="Arial Nova" w:cstheme="minorHAnsi"/>
          <w:b/>
          <w:bCs/>
          <w:color w:val="auto"/>
        </w:rPr>
        <w:t>Governance</w:t>
      </w:r>
      <w:r w:rsidRPr="006B39BB">
        <w:rPr>
          <w:rFonts w:ascii="Arial Nova" w:hAnsi="Arial Nova" w:cstheme="minorHAnsi"/>
          <w:color w:val="auto"/>
        </w:rPr>
        <w:t xml:space="preserve"> vuol dire </w:t>
      </w:r>
      <w:r w:rsidR="00EB1CCD" w:rsidRPr="006B39BB">
        <w:rPr>
          <w:rFonts w:ascii="Arial Nova" w:hAnsi="Arial Nova" w:cstheme="minorHAnsi"/>
          <w:color w:val="auto"/>
        </w:rPr>
        <w:t>gestire fenomeni di un marcato che st</w:t>
      </w:r>
      <w:r w:rsidR="006C247E" w:rsidRPr="006B39BB">
        <w:rPr>
          <w:rFonts w:ascii="Arial Nova" w:hAnsi="Arial Nova" w:cstheme="minorHAnsi"/>
          <w:color w:val="auto"/>
        </w:rPr>
        <w:t>a</w:t>
      </w:r>
      <w:r w:rsidR="00EB1CCD" w:rsidRPr="006B39BB">
        <w:rPr>
          <w:rFonts w:ascii="Arial Nova" w:hAnsi="Arial Nova" w:cstheme="minorHAnsi"/>
          <w:color w:val="auto"/>
        </w:rPr>
        <w:t xml:space="preserve"> assumendo dimensioni sempre più grandi sia </w:t>
      </w:r>
      <w:r w:rsidR="009A34F7" w:rsidRPr="006B39BB">
        <w:rPr>
          <w:rFonts w:ascii="Arial Nova" w:hAnsi="Arial Nova" w:cstheme="minorHAnsi"/>
          <w:color w:val="auto"/>
        </w:rPr>
        <w:t>per le aggregazioni e integrazioni dei player che per le dinamiche geopolitiche</w:t>
      </w:r>
    </w:p>
    <w:p w14:paraId="07E6194E" w14:textId="77777777" w:rsidR="00694354" w:rsidRPr="006B39BB" w:rsidRDefault="00694354" w:rsidP="005562FA">
      <w:pPr>
        <w:spacing w:line="360" w:lineRule="auto"/>
        <w:jc w:val="both"/>
        <w:rPr>
          <w:rFonts w:ascii="Arial Nova" w:hAnsi="Arial Nova" w:cstheme="minorHAnsi"/>
          <w:color w:val="auto"/>
        </w:rPr>
      </w:pPr>
    </w:p>
    <w:p w14:paraId="378B688F" w14:textId="073986F8" w:rsidR="00694354" w:rsidRPr="006B39BB" w:rsidRDefault="00694354" w:rsidP="005562FA">
      <w:pPr>
        <w:spacing w:line="360" w:lineRule="auto"/>
        <w:jc w:val="both"/>
        <w:rPr>
          <w:rFonts w:ascii="Arial Nova" w:hAnsi="Arial Nova" w:cstheme="minorHAnsi"/>
          <w:color w:val="auto"/>
        </w:rPr>
      </w:pPr>
      <w:r w:rsidRPr="006B39BB">
        <w:rPr>
          <w:rFonts w:ascii="Arial Nova" w:hAnsi="Arial Nova" w:cstheme="minorHAnsi"/>
          <w:color w:val="auto"/>
        </w:rPr>
        <w:t xml:space="preserve">Nel 2025 si riaprirà il tema dei </w:t>
      </w:r>
      <w:r w:rsidRPr="006B39BB">
        <w:rPr>
          <w:rFonts w:ascii="Arial Nova" w:hAnsi="Arial Nova" w:cstheme="minorHAnsi"/>
          <w:b/>
          <w:bCs/>
          <w:color w:val="auto"/>
        </w:rPr>
        <w:t>regimi fiscali</w:t>
      </w:r>
      <w:r w:rsidRPr="006B39BB">
        <w:rPr>
          <w:rFonts w:ascii="Arial Nova" w:hAnsi="Arial Nova" w:cstheme="minorHAnsi"/>
          <w:color w:val="auto"/>
        </w:rPr>
        <w:t xml:space="preserve"> del registro internazionale e della </w:t>
      </w:r>
      <w:proofErr w:type="spellStart"/>
      <w:r w:rsidRPr="006B39BB">
        <w:rPr>
          <w:rFonts w:ascii="Arial Nova" w:hAnsi="Arial Nova" w:cstheme="minorHAnsi"/>
          <w:color w:val="auto"/>
        </w:rPr>
        <w:t>tonnage</w:t>
      </w:r>
      <w:proofErr w:type="spellEnd"/>
      <w:r w:rsidRPr="006B39BB">
        <w:rPr>
          <w:rFonts w:ascii="Arial Nova" w:hAnsi="Arial Nova" w:cstheme="minorHAnsi"/>
          <w:color w:val="auto"/>
        </w:rPr>
        <w:t xml:space="preserve"> tax: per quanto trattasi di aspetti che andrebbero regolati a livello dello spazio economico europeo, ribadiamo la strategicità e l’importanza dei suddetti regimi fiscali, alternativi tra loro, laddove questi restino però perimetrati all’ambito del trasporto marittimo, fatte salve ovviamente le attività “ancillari” del settore crocieristico.</w:t>
      </w:r>
    </w:p>
    <w:p w14:paraId="1A62C2C0" w14:textId="77777777" w:rsidR="00694354" w:rsidRPr="006B39BB" w:rsidRDefault="00694354" w:rsidP="005562FA">
      <w:pPr>
        <w:spacing w:line="360" w:lineRule="auto"/>
        <w:jc w:val="both"/>
        <w:rPr>
          <w:rFonts w:ascii="Arial Nova" w:hAnsi="Arial Nova" w:cstheme="minorHAnsi"/>
        </w:rPr>
      </w:pPr>
    </w:p>
    <w:p w14:paraId="7F9BCCD8" w14:textId="03D5F4F1" w:rsidR="00694354" w:rsidRPr="006B39BB" w:rsidRDefault="00694354" w:rsidP="005562FA">
      <w:pPr>
        <w:pStyle w:val="Paragrafoelenco"/>
        <w:numPr>
          <w:ilvl w:val="0"/>
          <w:numId w:val="4"/>
        </w:numPr>
        <w:spacing w:line="360" w:lineRule="auto"/>
        <w:ind w:left="0"/>
        <w:jc w:val="both"/>
        <w:rPr>
          <w:rFonts w:ascii="Arial Nova" w:hAnsi="Arial Nova" w:cstheme="minorHAnsi"/>
          <w:b/>
          <w:bCs/>
          <w:color w:val="005E00"/>
          <w:sz w:val="28"/>
          <w:szCs w:val="28"/>
        </w:rPr>
      </w:pPr>
      <w:r w:rsidRPr="006B39BB">
        <w:rPr>
          <w:rFonts w:ascii="Arial Nova" w:hAnsi="Arial Nova" w:cstheme="minorHAnsi"/>
          <w:b/>
          <w:bCs/>
          <w:color w:val="005E00"/>
          <w:sz w:val="28"/>
          <w:szCs w:val="28"/>
        </w:rPr>
        <w:t>TRANSIONE ENERGETICA</w:t>
      </w:r>
    </w:p>
    <w:p w14:paraId="79A0C8C8" w14:textId="77777777" w:rsidR="00543BB5" w:rsidRPr="006B39BB" w:rsidRDefault="00543BB5" w:rsidP="005562FA">
      <w:pPr>
        <w:spacing w:line="360" w:lineRule="auto"/>
        <w:jc w:val="both"/>
        <w:rPr>
          <w:rFonts w:ascii="Arial Nova" w:hAnsi="Arial Nova" w:cstheme="minorHAnsi"/>
          <w:color w:val="44546A" w:themeColor="text2"/>
        </w:rPr>
      </w:pPr>
      <w:r w:rsidRPr="006B39BB">
        <w:rPr>
          <w:rFonts w:ascii="Arial Nova" w:hAnsi="Arial Nova" w:cstheme="minorHAnsi"/>
          <w:color w:val="44546A" w:themeColor="text2"/>
        </w:rPr>
        <w:t>Qualunque processo di transizione va accompagnato e guidato: quindi anche questi processi hanno bisogno di essere guidati dal centro.</w:t>
      </w:r>
    </w:p>
    <w:p w14:paraId="359937F0" w14:textId="6E66AFAF" w:rsidR="007643C0" w:rsidRPr="006B39BB" w:rsidRDefault="007643C0" w:rsidP="005562FA">
      <w:pPr>
        <w:spacing w:line="360" w:lineRule="auto"/>
        <w:jc w:val="both"/>
        <w:rPr>
          <w:rFonts w:ascii="Arial Nova" w:eastAsia="Arial" w:hAnsi="Arial Nova" w:cstheme="minorHAnsi"/>
          <w:color w:val="44546A" w:themeColor="text2"/>
        </w:rPr>
      </w:pPr>
      <w:r w:rsidRPr="006B39BB">
        <w:rPr>
          <w:rFonts w:ascii="Arial Nova" w:hAnsi="Arial Nova" w:cstheme="minorHAnsi"/>
          <w:color w:val="44546A" w:themeColor="text2"/>
        </w:rPr>
        <w:t>La transi</w:t>
      </w:r>
      <w:r w:rsidR="006C247E" w:rsidRPr="006B39BB">
        <w:rPr>
          <w:rFonts w:ascii="Arial Nova" w:hAnsi="Arial Nova" w:cstheme="minorHAnsi"/>
          <w:color w:val="44546A" w:themeColor="text2"/>
        </w:rPr>
        <w:t>zi</w:t>
      </w:r>
      <w:r w:rsidRPr="006B39BB">
        <w:rPr>
          <w:rFonts w:ascii="Arial Nova" w:hAnsi="Arial Nova" w:cstheme="minorHAnsi"/>
          <w:color w:val="44546A" w:themeColor="text2"/>
        </w:rPr>
        <w:t xml:space="preserve">one energetica o ecologica per le imprese e i terminal deve avvenire attraverso meccanismi e strumenti incentivanti/premianti (anche all’interno dei meccanismi concessori/autorizzativi) sia per l’acquisto di nuovi </w:t>
      </w:r>
      <w:proofErr w:type="spellStart"/>
      <w:r w:rsidRPr="006B39BB">
        <w:rPr>
          <w:rFonts w:ascii="Arial Nova" w:hAnsi="Arial Nova" w:cstheme="minorHAnsi"/>
          <w:color w:val="44546A" w:themeColor="text2"/>
        </w:rPr>
        <w:t>equipments</w:t>
      </w:r>
      <w:proofErr w:type="spellEnd"/>
      <w:r w:rsidRPr="006B39BB">
        <w:rPr>
          <w:rFonts w:ascii="Arial Nova" w:hAnsi="Arial Nova" w:cstheme="minorHAnsi"/>
          <w:color w:val="44546A" w:themeColor="text2"/>
        </w:rPr>
        <w:t xml:space="preserve"> che per l’adozione di processi di autoproduzione di energia da fonti rinnovabili - alternative</w:t>
      </w:r>
    </w:p>
    <w:p w14:paraId="71229968" w14:textId="77777777" w:rsidR="005258F4" w:rsidRDefault="00543BB5" w:rsidP="005562FA">
      <w:pPr>
        <w:spacing w:line="360" w:lineRule="auto"/>
        <w:jc w:val="both"/>
        <w:rPr>
          <w:rFonts w:ascii="Arial Nova" w:hAnsi="Arial Nova" w:cstheme="minorHAnsi"/>
          <w:color w:val="44546A" w:themeColor="text2"/>
        </w:rPr>
      </w:pPr>
      <w:proofErr w:type="spellStart"/>
      <w:r w:rsidRPr="006B39BB">
        <w:rPr>
          <w:rFonts w:ascii="Arial Nova" w:hAnsi="Arial Nova" w:cstheme="minorHAnsi"/>
          <w:b/>
          <w:bCs/>
          <w:color w:val="44546A" w:themeColor="text2"/>
        </w:rPr>
        <w:t>Cold</w:t>
      </w:r>
      <w:proofErr w:type="spellEnd"/>
      <w:r w:rsidRPr="006B39BB">
        <w:rPr>
          <w:rFonts w:ascii="Arial Nova" w:hAnsi="Arial Nova" w:cstheme="minorHAnsi"/>
          <w:b/>
          <w:bCs/>
          <w:color w:val="44546A" w:themeColor="text2"/>
        </w:rPr>
        <w:t xml:space="preserve"> </w:t>
      </w:r>
      <w:proofErr w:type="spellStart"/>
      <w:r w:rsidRPr="006B39BB">
        <w:rPr>
          <w:rFonts w:ascii="Arial Nova" w:hAnsi="Arial Nova" w:cstheme="minorHAnsi"/>
          <w:b/>
          <w:bCs/>
          <w:color w:val="44546A" w:themeColor="text2"/>
        </w:rPr>
        <w:t>ironing</w:t>
      </w:r>
      <w:proofErr w:type="spellEnd"/>
      <w:r w:rsidR="00CE5CAD" w:rsidRPr="006B39BB">
        <w:rPr>
          <w:rFonts w:ascii="Arial Nova" w:hAnsi="Arial Nova" w:cstheme="minorHAnsi"/>
          <w:b/>
          <w:bCs/>
          <w:color w:val="44546A" w:themeColor="text2"/>
        </w:rPr>
        <w:t xml:space="preserve"> - </w:t>
      </w:r>
      <w:proofErr w:type="spellStart"/>
      <w:r w:rsidRPr="006B39BB">
        <w:rPr>
          <w:rFonts w:ascii="Arial Nova" w:hAnsi="Arial Nova" w:cstheme="minorHAnsi"/>
          <w:b/>
          <w:bCs/>
          <w:color w:val="44546A" w:themeColor="text2"/>
        </w:rPr>
        <w:t>Shore</w:t>
      </w:r>
      <w:proofErr w:type="spellEnd"/>
      <w:r w:rsidRPr="006B39BB">
        <w:rPr>
          <w:rFonts w:ascii="Arial Nova" w:hAnsi="Arial Nova" w:cstheme="minorHAnsi"/>
          <w:b/>
          <w:bCs/>
          <w:color w:val="44546A" w:themeColor="text2"/>
        </w:rPr>
        <w:t xml:space="preserve"> Power</w:t>
      </w:r>
      <w:r w:rsidRPr="006B39BB">
        <w:rPr>
          <w:rFonts w:ascii="Arial Nova" w:hAnsi="Arial Nova" w:cstheme="minorHAnsi"/>
          <w:color w:val="44546A" w:themeColor="text2"/>
        </w:rPr>
        <w:t xml:space="preserve">: </w:t>
      </w:r>
      <w:r w:rsidR="00CE5CAD" w:rsidRPr="006B39BB">
        <w:rPr>
          <w:rFonts w:ascii="Arial Nova" w:hAnsi="Arial Nova" w:cstheme="minorHAnsi"/>
          <w:color w:val="44546A" w:themeColor="text2"/>
        </w:rPr>
        <w:t xml:space="preserve">al netto della fase di infrastrutturazione dei POD, della loro “capacità” di collegamento alla rete elettrica nazionale, dell’abbattimento degli oneri si sistema sulla tariffa, è indispensabile procedere </w:t>
      </w:r>
      <w:r w:rsidR="00A91D23" w:rsidRPr="006B39BB">
        <w:rPr>
          <w:rFonts w:ascii="Arial Nova" w:hAnsi="Arial Nova" w:cstheme="minorHAnsi"/>
          <w:color w:val="44546A" w:themeColor="text2"/>
        </w:rPr>
        <w:t>individuando soluzioni concrete</w:t>
      </w:r>
    </w:p>
    <w:p w14:paraId="55882C66" w14:textId="0FF62628" w:rsidR="00A91D23" w:rsidRPr="005258F4" w:rsidRDefault="005258F4" w:rsidP="005562FA">
      <w:pPr>
        <w:spacing w:line="360" w:lineRule="auto"/>
        <w:jc w:val="both"/>
        <w:rPr>
          <w:rFonts w:ascii="Arial Nova" w:hAnsi="Arial Nova" w:cstheme="minorHAnsi"/>
          <w:color w:val="44546A" w:themeColor="text2"/>
        </w:rPr>
      </w:pPr>
      <w:r>
        <w:rPr>
          <w:rFonts w:ascii="Arial Nova" w:hAnsi="Arial Nova" w:cstheme="minorHAnsi"/>
          <w:b/>
          <w:bCs/>
          <w:color w:val="005E00"/>
          <w:sz w:val="28"/>
          <w:szCs w:val="28"/>
        </w:rPr>
        <w:t xml:space="preserve">3.1) </w:t>
      </w:r>
      <w:r w:rsidR="00A91D23" w:rsidRPr="006B39BB">
        <w:rPr>
          <w:rFonts w:ascii="Arial Nova" w:hAnsi="Arial Nova" w:cstheme="minorHAnsi"/>
          <w:b/>
          <w:bCs/>
          <w:color w:val="005E00"/>
          <w:sz w:val="28"/>
          <w:szCs w:val="28"/>
        </w:rPr>
        <w:t>PROPOSTE</w:t>
      </w:r>
    </w:p>
    <w:p w14:paraId="6DD4BCA4" w14:textId="59E7BCA2" w:rsidR="00CE5CAD" w:rsidRPr="006B39BB" w:rsidRDefault="00CE5CAD" w:rsidP="005562FA">
      <w:pPr>
        <w:pStyle w:val="Paragrafoelenco"/>
        <w:numPr>
          <w:ilvl w:val="0"/>
          <w:numId w:val="7"/>
        </w:numPr>
        <w:spacing w:line="360" w:lineRule="auto"/>
        <w:ind w:left="0"/>
        <w:jc w:val="both"/>
        <w:rPr>
          <w:rFonts w:ascii="Arial Nova" w:eastAsia="Arial" w:hAnsi="Arial Nova" w:cstheme="minorHAnsi"/>
          <w:color w:val="44546A" w:themeColor="text2"/>
        </w:rPr>
      </w:pPr>
      <w:r w:rsidRPr="006B39BB">
        <w:rPr>
          <w:rFonts w:ascii="Arial Nova" w:eastAsia="Arial" w:hAnsi="Arial Nova" w:cstheme="minorHAnsi"/>
          <w:color w:val="44546A" w:themeColor="text2"/>
        </w:rPr>
        <w:t xml:space="preserve">Individuare i modelli operativi: concessione ai sensi dell’art 24 </w:t>
      </w:r>
      <w:r w:rsidR="006C247E" w:rsidRPr="006B39BB">
        <w:rPr>
          <w:rFonts w:ascii="Arial Nova" w:eastAsia="Arial" w:hAnsi="Arial Nova" w:cstheme="minorHAnsi"/>
          <w:color w:val="44546A" w:themeColor="text2"/>
        </w:rPr>
        <w:t>reg</w:t>
      </w:r>
      <w:r w:rsidRPr="006B39BB">
        <w:rPr>
          <w:rFonts w:ascii="Arial Nova" w:eastAsia="Arial" w:hAnsi="Arial Nova" w:cstheme="minorHAnsi"/>
          <w:color w:val="44546A" w:themeColor="text2"/>
        </w:rPr>
        <w:t>. nav.</w:t>
      </w:r>
      <w:r w:rsidR="006C247E" w:rsidRPr="006B39BB">
        <w:rPr>
          <w:rFonts w:ascii="Arial Nova" w:eastAsia="Arial" w:hAnsi="Arial Nova" w:cstheme="minorHAnsi"/>
          <w:color w:val="44546A" w:themeColor="text2"/>
        </w:rPr>
        <w:t xml:space="preserve"> mar.</w:t>
      </w:r>
      <w:r w:rsidRPr="006B39BB">
        <w:rPr>
          <w:rFonts w:ascii="Arial Nova" w:eastAsia="Arial" w:hAnsi="Arial Nova" w:cstheme="minorHAnsi"/>
          <w:color w:val="44546A" w:themeColor="text2"/>
        </w:rPr>
        <w:t xml:space="preserve"> (in parallelo a subconcessioni ai sensi dell’art 45 bis cod</w:t>
      </w:r>
      <w:r w:rsidR="006C247E" w:rsidRPr="006B39BB">
        <w:rPr>
          <w:rFonts w:ascii="Arial Nova" w:eastAsia="Arial" w:hAnsi="Arial Nova" w:cstheme="minorHAnsi"/>
          <w:color w:val="44546A" w:themeColor="text2"/>
        </w:rPr>
        <w:t>.</w:t>
      </w:r>
      <w:r w:rsidRPr="006B39BB">
        <w:rPr>
          <w:rFonts w:ascii="Arial Nova" w:eastAsia="Arial" w:hAnsi="Arial Nova" w:cstheme="minorHAnsi"/>
          <w:color w:val="44546A" w:themeColor="text2"/>
        </w:rPr>
        <w:t xml:space="preserve"> nav</w:t>
      </w:r>
      <w:r w:rsidR="006C247E" w:rsidRPr="006B39BB">
        <w:rPr>
          <w:rFonts w:ascii="Arial Nova" w:eastAsia="Arial" w:hAnsi="Arial Nova" w:cstheme="minorHAnsi"/>
          <w:color w:val="44546A" w:themeColor="text2"/>
        </w:rPr>
        <w:t>.</w:t>
      </w:r>
      <w:r w:rsidRPr="006B39BB">
        <w:rPr>
          <w:rFonts w:ascii="Arial Nova" w:eastAsia="Arial" w:hAnsi="Arial Nova" w:cstheme="minorHAnsi"/>
          <w:color w:val="44546A" w:themeColor="text2"/>
        </w:rPr>
        <w:t xml:space="preserve">) ovvero </w:t>
      </w:r>
      <w:r w:rsidR="006C247E" w:rsidRPr="006B39BB">
        <w:rPr>
          <w:rFonts w:ascii="Arial Nova" w:eastAsia="Arial" w:hAnsi="Arial Nova" w:cstheme="minorHAnsi"/>
          <w:color w:val="44546A" w:themeColor="text2"/>
        </w:rPr>
        <w:t>affidamenti disciplinati dal codice appalti</w:t>
      </w:r>
      <w:r w:rsidRPr="006B39BB">
        <w:rPr>
          <w:rFonts w:ascii="Arial Nova" w:eastAsia="Arial" w:hAnsi="Arial Nova" w:cstheme="minorHAnsi"/>
          <w:color w:val="44546A" w:themeColor="text2"/>
        </w:rPr>
        <w:t xml:space="preserve"> </w:t>
      </w:r>
    </w:p>
    <w:p w14:paraId="469A2972" w14:textId="75D3B479" w:rsidR="00CE5CAD" w:rsidRPr="006B39BB" w:rsidRDefault="00CE5CAD" w:rsidP="005562FA">
      <w:pPr>
        <w:pStyle w:val="Paragrafoelenco"/>
        <w:numPr>
          <w:ilvl w:val="0"/>
          <w:numId w:val="7"/>
        </w:numPr>
        <w:spacing w:line="360" w:lineRule="auto"/>
        <w:ind w:left="0"/>
        <w:jc w:val="both"/>
        <w:rPr>
          <w:rFonts w:ascii="Arial Nova" w:eastAsia="Arial" w:hAnsi="Arial Nova" w:cstheme="minorHAnsi"/>
          <w:color w:val="44546A" w:themeColor="text2"/>
        </w:rPr>
      </w:pPr>
      <w:r w:rsidRPr="006B39BB">
        <w:rPr>
          <w:rFonts w:ascii="Arial Nova" w:eastAsia="Arial" w:hAnsi="Arial Nova" w:cstheme="minorHAnsi"/>
          <w:color w:val="44546A" w:themeColor="text2"/>
        </w:rPr>
        <w:t>Agevolare e promuovere forme di cooperazione tra operatori portuali e produttori di energia elettrica (premiando forniture prodotte da fonti rinnovabili) per ovviare alla non avvenuta regolamentazione delle comunità energetiche portuali</w:t>
      </w:r>
    </w:p>
    <w:p w14:paraId="24640E63" w14:textId="77777777" w:rsidR="007643C0" w:rsidRPr="006B39BB" w:rsidRDefault="00CE5CAD" w:rsidP="005562FA">
      <w:pPr>
        <w:pStyle w:val="Paragrafoelenco"/>
        <w:numPr>
          <w:ilvl w:val="0"/>
          <w:numId w:val="7"/>
        </w:numPr>
        <w:spacing w:line="360" w:lineRule="auto"/>
        <w:ind w:left="0"/>
        <w:jc w:val="both"/>
        <w:rPr>
          <w:rFonts w:ascii="Arial Nova" w:hAnsi="Arial Nova" w:cstheme="minorHAnsi"/>
          <w:color w:val="44546A" w:themeColor="text2"/>
        </w:rPr>
      </w:pPr>
      <w:r w:rsidRPr="006B39BB">
        <w:rPr>
          <w:rFonts w:ascii="Arial Nova" w:eastAsia="Times New Roman" w:hAnsi="Arial Nova" w:cstheme="minorHAnsi"/>
          <w:color w:val="44546A" w:themeColor="text2"/>
        </w:rPr>
        <w:t>prevedere all’interno di un processo di concessione/sub concessione un periodo di ammortamento degli investimenti in impianti di produzione da fonti rinnovabili e assimilato, adeguato al periodo utile di produzione.</w:t>
      </w:r>
    </w:p>
    <w:p w14:paraId="2B336711" w14:textId="5A3E5587" w:rsidR="007643C0" w:rsidRPr="006B39BB" w:rsidRDefault="007643C0" w:rsidP="005562FA">
      <w:pPr>
        <w:pStyle w:val="Paragrafoelenco"/>
        <w:numPr>
          <w:ilvl w:val="0"/>
          <w:numId w:val="7"/>
        </w:numPr>
        <w:spacing w:line="360" w:lineRule="auto"/>
        <w:ind w:left="0"/>
        <w:jc w:val="both"/>
        <w:rPr>
          <w:rFonts w:ascii="Arial Nova" w:hAnsi="Arial Nova" w:cstheme="minorHAnsi"/>
          <w:color w:val="44546A" w:themeColor="text2"/>
        </w:rPr>
      </w:pPr>
      <w:r w:rsidRPr="006B39BB">
        <w:rPr>
          <w:rFonts w:ascii="Arial Nova" w:eastAsia="Arial" w:hAnsi="Arial Nova" w:cstheme="minorHAnsi"/>
          <w:color w:val="44546A" w:themeColor="text2"/>
        </w:rPr>
        <w:t xml:space="preserve">Adottare meccanismi (modello transizione 5.0) anche all’interno dei regimi concessori e autorizzativi per promuovere il refitting degli </w:t>
      </w:r>
      <w:proofErr w:type="spellStart"/>
      <w:r w:rsidRPr="006B39BB">
        <w:rPr>
          <w:rFonts w:ascii="Arial Nova" w:eastAsia="Arial" w:hAnsi="Arial Nova" w:cstheme="minorHAnsi"/>
          <w:color w:val="44546A" w:themeColor="text2"/>
        </w:rPr>
        <w:t>equipments</w:t>
      </w:r>
      <w:proofErr w:type="spellEnd"/>
      <w:r w:rsidRPr="006B39BB">
        <w:rPr>
          <w:rFonts w:ascii="Arial Nova" w:eastAsia="Arial" w:hAnsi="Arial Nova" w:cstheme="minorHAnsi"/>
          <w:color w:val="44546A" w:themeColor="text2"/>
        </w:rPr>
        <w:t xml:space="preserve"> operativi</w:t>
      </w:r>
    </w:p>
    <w:p w14:paraId="383773C9" w14:textId="77777777" w:rsidR="007643C0" w:rsidRPr="006B39BB" w:rsidRDefault="007643C0" w:rsidP="005562FA">
      <w:pPr>
        <w:spacing w:line="360" w:lineRule="auto"/>
        <w:jc w:val="both"/>
        <w:rPr>
          <w:rFonts w:ascii="Arial Nova" w:eastAsia="Arial" w:hAnsi="Arial Nova" w:cstheme="minorHAnsi"/>
          <w:color w:val="44546A" w:themeColor="text2"/>
        </w:rPr>
      </w:pPr>
    </w:p>
    <w:p w14:paraId="673E5305" w14:textId="43357CF7" w:rsidR="007643C0" w:rsidRPr="006B39BB" w:rsidRDefault="007643C0" w:rsidP="005562FA">
      <w:pPr>
        <w:spacing w:line="360" w:lineRule="auto"/>
        <w:jc w:val="both"/>
        <w:rPr>
          <w:rFonts w:ascii="Arial Nova" w:eastAsia="Arial" w:hAnsi="Arial Nova" w:cstheme="minorHAnsi"/>
          <w:color w:val="44546A" w:themeColor="text2"/>
        </w:rPr>
      </w:pPr>
      <w:r w:rsidRPr="006B39BB">
        <w:rPr>
          <w:rFonts w:ascii="Arial Nova" w:eastAsia="Arial" w:hAnsi="Arial Nova" w:cstheme="minorHAnsi"/>
          <w:color w:val="44546A" w:themeColor="text2"/>
        </w:rPr>
        <w:t>L’elettrificazione delle banchine e/o dei processi operativi non è l’unica soluzione verso l’imposizione di una transizione energetica</w:t>
      </w:r>
      <w:r w:rsidR="00712349" w:rsidRPr="006B39BB">
        <w:rPr>
          <w:rFonts w:ascii="Arial Nova" w:eastAsia="Arial" w:hAnsi="Arial Nova" w:cstheme="minorHAnsi"/>
          <w:color w:val="44546A" w:themeColor="text2"/>
        </w:rPr>
        <w:t>; l</w:t>
      </w:r>
      <w:r w:rsidRPr="006B39BB">
        <w:rPr>
          <w:rFonts w:ascii="Arial Nova" w:eastAsia="Arial" w:hAnsi="Arial Nova" w:cstheme="minorHAnsi"/>
          <w:color w:val="44546A" w:themeColor="text2"/>
        </w:rPr>
        <w:t xml:space="preserve">a pianificazione verso investimenti in </w:t>
      </w:r>
      <w:r w:rsidRPr="006B39BB">
        <w:rPr>
          <w:rFonts w:ascii="Arial Nova" w:eastAsia="Arial" w:hAnsi="Arial Nova" w:cstheme="minorHAnsi"/>
          <w:b/>
          <w:bCs/>
          <w:color w:val="44546A" w:themeColor="text2"/>
        </w:rPr>
        <w:t>infrastrutture di stoccaggio</w:t>
      </w:r>
      <w:r w:rsidRPr="006B39BB">
        <w:rPr>
          <w:rFonts w:ascii="Arial Nova" w:eastAsia="Arial" w:hAnsi="Arial Nova" w:cstheme="minorHAnsi"/>
          <w:color w:val="44546A" w:themeColor="text2"/>
        </w:rPr>
        <w:t xml:space="preserve"> e </w:t>
      </w:r>
      <w:r w:rsidR="00712349" w:rsidRPr="006B39BB">
        <w:rPr>
          <w:rFonts w:ascii="Arial Nova" w:eastAsia="Arial" w:hAnsi="Arial Nova" w:cstheme="minorHAnsi"/>
          <w:b/>
          <w:bCs/>
          <w:color w:val="44546A" w:themeColor="text2"/>
        </w:rPr>
        <w:lastRenderedPageBreak/>
        <w:t xml:space="preserve">processi di </w:t>
      </w:r>
      <w:r w:rsidRPr="006B39BB">
        <w:rPr>
          <w:rFonts w:ascii="Arial Nova" w:eastAsia="Arial" w:hAnsi="Arial Nova" w:cstheme="minorHAnsi"/>
          <w:b/>
          <w:bCs/>
          <w:color w:val="44546A" w:themeColor="text2"/>
        </w:rPr>
        <w:t>fornitura</w:t>
      </w:r>
      <w:r w:rsidRPr="006B39BB">
        <w:rPr>
          <w:rFonts w:ascii="Arial Nova" w:eastAsia="Arial" w:hAnsi="Arial Nova" w:cstheme="minorHAnsi"/>
          <w:color w:val="44546A" w:themeColor="text2"/>
        </w:rPr>
        <w:t xml:space="preserve"> di “carburanti” alternativi deve essere gestita dal “centro” con una flessibilità tale da consentire adeguamenti tecnico funzionali rapidi e procedure operative analoghe per tutti i porti. Le navi non sono gli unici utenti dei porti, l’autotrasporto, il trasporto ferroviario, </w:t>
      </w:r>
      <w:r w:rsidR="00A91D23" w:rsidRPr="006B39BB">
        <w:rPr>
          <w:rFonts w:ascii="Arial Nova" w:eastAsia="Arial" w:hAnsi="Arial Nova" w:cstheme="minorHAnsi"/>
          <w:color w:val="44546A" w:themeColor="text2"/>
        </w:rPr>
        <w:t xml:space="preserve">l’utenza di crociere e traghetti devono poter trovare anche nei porti punti di </w:t>
      </w:r>
      <w:proofErr w:type="spellStart"/>
      <w:r w:rsidR="00A91D23" w:rsidRPr="006B39BB">
        <w:rPr>
          <w:rFonts w:ascii="Arial Nova" w:eastAsia="Arial" w:hAnsi="Arial Nova" w:cstheme="minorHAnsi"/>
          <w:color w:val="44546A" w:themeColor="text2"/>
        </w:rPr>
        <w:t>approvigionamento</w:t>
      </w:r>
      <w:proofErr w:type="spellEnd"/>
      <w:r w:rsidR="00A91D23" w:rsidRPr="006B39BB">
        <w:rPr>
          <w:rFonts w:ascii="Arial Nova" w:eastAsia="Arial" w:hAnsi="Arial Nova" w:cstheme="minorHAnsi"/>
          <w:color w:val="44546A" w:themeColor="text2"/>
        </w:rPr>
        <w:t xml:space="preserve"> – rifornimento di combustibili alternativi.</w:t>
      </w:r>
    </w:p>
    <w:p w14:paraId="61DAEA2A" w14:textId="77777777" w:rsidR="00A91D23" w:rsidRPr="005258F4" w:rsidRDefault="00A91D23" w:rsidP="005562FA">
      <w:pPr>
        <w:spacing w:line="360" w:lineRule="auto"/>
        <w:jc w:val="both"/>
        <w:rPr>
          <w:rFonts w:ascii="Arial Nova" w:eastAsia="Arial" w:hAnsi="Arial Nova" w:cstheme="minorHAnsi"/>
          <w:color w:val="44546A" w:themeColor="text2"/>
          <w:sz w:val="16"/>
          <w:szCs w:val="16"/>
        </w:rPr>
      </w:pPr>
    </w:p>
    <w:p w14:paraId="6E67B790" w14:textId="775075B2" w:rsidR="007643C0" w:rsidRPr="006B39BB" w:rsidRDefault="007643C0" w:rsidP="005562FA">
      <w:pPr>
        <w:spacing w:line="360" w:lineRule="auto"/>
        <w:jc w:val="both"/>
        <w:rPr>
          <w:rFonts w:ascii="Arial Nova" w:eastAsia="Arial" w:hAnsi="Arial Nova" w:cstheme="minorHAnsi"/>
          <w:color w:val="44546A" w:themeColor="text2"/>
        </w:rPr>
      </w:pPr>
      <w:r w:rsidRPr="006B39BB">
        <w:rPr>
          <w:rFonts w:ascii="Arial Nova" w:eastAsia="Arial" w:hAnsi="Arial Nova" w:cstheme="minorHAnsi"/>
          <w:color w:val="44546A" w:themeColor="text2"/>
        </w:rPr>
        <w:t>Risorse utili a agevolare tal</w:t>
      </w:r>
      <w:r w:rsidR="00A91D23" w:rsidRPr="006B39BB">
        <w:rPr>
          <w:rFonts w:ascii="Arial Nova" w:eastAsia="Arial" w:hAnsi="Arial Nova" w:cstheme="minorHAnsi"/>
          <w:color w:val="44546A" w:themeColor="text2"/>
        </w:rPr>
        <w:t>i</w:t>
      </w:r>
      <w:r w:rsidRPr="006B39BB">
        <w:rPr>
          <w:rFonts w:ascii="Arial Nova" w:eastAsia="Arial" w:hAnsi="Arial Nova" w:cstheme="minorHAnsi"/>
          <w:color w:val="44546A" w:themeColor="text2"/>
        </w:rPr>
        <w:t xml:space="preserve"> percors</w:t>
      </w:r>
      <w:r w:rsidR="00A91D23" w:rsidRPr="006B39BB">
        <w:rPr>
          <w:rFonts w:ascii="Arial Nova" w:eastAsia="Arial" w:hAnsi="Arial Nova" w:cstheme="minorHAnsi"/>
          <w:color w:val="44546A" w:themeColor="text2"/>
        </w:rPr>
        <w:t>i</w:t>
      </w:r>
      <w:r w:rsidRPr="006B39BB">
        <w:rPr>
          <w:rFonts w:ascii="Arial Nova" w:eastAsia="Arial" w:hAnsi="Arial Nova" w:cstheme="minorHAnsi"/>
          <w:color w:val="44546A" w:themeColor="text2"/>
        </w:rPr>
        <w:t xml:space="preserve"> devono essere trovate</w:t>
      </w:r>
      <w:r w:rsidR="00A91D23" w:rsidRPr="006B39BB">
        <w:rPr>
          <w:rFonts w:ascii="Arial Nova" w:eastAsia="Arial" w:hAnsi="Arial Nova" w:cstheme="minorHAnsi"/>
          <w:color w:val="44546A" w:themeColor="text2"/>
        </w:rPr>
        <w:t xml:space="preserve">, ad esempio, </w:t>
      </w:r>
      <w:r w:rsidRPr="006B39BB">
        <w:rPr>
          <w:rFonts w:ascii="Arial Nova" w:eastAsia="Arial" w:hAnsi="Arial Nova" w:cstheme="minorHAnsi"/>
          <w:color w:val="44546A" w:themeColor="text2"/>
        </w:rPr>
        <w:t xml:space="preserve">attraverso i meccanismi legati alla tassazione </w:t>
      </w:r>
      <w:r w:rsidRPr="006B39BB">
        <w:rPr>
          <w:rFonts w:ascii="Arial Nova" w:eastAsia="Arial" w:hAnsi="Arial Nova" w:cstheme="minorHAnsi"/>
          <w:b/>
          <w:bCs/>
          <w:color w:val="44546A" w:themeColor="text2"/>
        </w:rPr>
        <w:t>ETS</w:t>
      </w:r>
    </w:p>
    <w:p w14:paraId="36DC6EBB" w14:textId="77777777" w:rsidR="00CE5CAD" w:rsidRPr="006B39BB" w:rsidRDefault="00CE5CAD" w:rsidP="005562FA">
      <w:pPr>
        <w:spacing w:line="360" w:lineRule="auto"/>
        <w:jc w:val="both"/>
        <w:rPr>
          <w:rFonts w:ascii="Arial Nova" w:hAnsi="Arial Nova" w:cstheme="minorHAnsi"/>
          <w:color w:val="2F5496" w:themeColor="accent1" w:themeShade="BF"/>
        </w:rPr>
      </w:pPr>
    </w:p>
    <w:p w14:paraId="6AAE1263" w14:textId="69931918" w:rsidR="00CE5CAD" w:rsidRPr="005258F4" w:rsidRDefault="00A91D23" w:rsidP="005562FA">
      <w:pPr>
        <w:pStyle w:val="Paragrafoelenco"/>
        <w:numPr>
          <w:ilvl w:val="0"/>
          <w:numId w:val="4"/>
        </w:numPr>
        <w:spacing w:line="360" w:lineRule="auto"/>
        <w:ind w:left="0"/>
        <w:jc w:val="both"/>
        <w:rPr>
          <w:rFonts w:ascii="Arial Nova" w:hAnsi="Arial Nova" w:cstheme="minorHAnsi"/>
          <w:b/>
          <w:bCs/>
          <w:color w:val="FF3300"/>
          <w:sz w:val="28"/>
          <w:szCs w:val="28"/>
        </w:rPr>
      </w:pPr>
      <w:r w:rsidRPr="005258F4">
        <w:rPr>
          <w:rFonts w:ascii="Arial Nova" w:hAnsi="Arial Nova" w:cstheme="minorHAnsi"/>
          <w:b/>
          <w:bCs/>
          <w:color w:val="FF3300"/>
          <w:sz w:val="28"/>
          <w:szCs w:val="28"/>
        </w:rPr>
        <w:t>TRANSIZIONE DIGITALE</w:t>
      </w:r>
    </w:p>
    <w:p w14:paraId="154DED3E" w14:textId="695ADD85" w:rsidR="00A91D23" w:rsidRPr="006B39BB" w:rsidRDefault="00A91D23" w:rsidP="005562FA">
      <w:pPr>
        <w:spacing w:line="360" w:lineRule="auto"/>
        <w:jc w:val="both"/>
        <w:rPr>
          <w:rFonts w:ascii="Arial Nova" w:hAnsi="Arial Nova" w:cstheme="minorHAnsi"/>
          <w:color w:val="44546A" w:themeColor="text2"/>
        </w:rPr>
      </w:pPr>
      <w:r w:rsidRPr="006B39BB">
        <w:rPr>
          <w:rFonts w:ascii="Arial Nova" w:hAnsi="Arial Nova" w:cstheme="minorHAnsi"/>
          <w:color w:val="44546A" w:themeColor="text2"/>
        </w:rPr>
        <w:t>Il Ministero delle Infrastrutture e dei trasporti, anche tramite RAM stanno accelerando misure e processi utili alla transizione digitale della filiera logistica che vede nei porti e negli operatori portuali il fulcro nevralgico per una corretta e fluida gestione dei dati e conseguentemente dei flussi.</w:t>
      </w:r>
      <w:r w:rsidR="00960D1E" w:rsidRPr="006B39BB">
        <w:rPr>
          <w:rFonts w:ascii="Arial Nova" w:hAnsi="Arial Nova" w:cstheme="minorHAnsi"/>
          <w:color w:val="44546A" w:themeColor="text2"/>
        </w:rPr>
        <w:t xml:space="preserve"> L’omogenizzazione della raccolta dei dati, nel rispetto della loro matrice e funzione, favorirebbe anche il “decisore” in analisi e azioni conseguenti anche dal punto di vista della pianificazione degli interventi e degli investimenti (es. analisi dei flussi) </w:t>
      </w:r>
    </w:p>
    <w:p w14:paraId="4B5B5A5C" w14:textId="20200535" w:rsidR="00A91D23" w:rsidRPr="005258F4" w:rsidRDefault="005258F4" w:rsidP="005562FA">
      <w:pPr>
        <w:spacing w:line="360" w:lineRule="auto"/>
        <w:jc w:val="both"/>
        <w:rPr>
          <w:rFonts w:ascii="Arial Nova" w:hAnsi="Arial Nova" w:cstheme="minorHAnsi"/>
          <w:b/>
          <w:bCs/>
          <w:color w:val="FF3300"/>
          <w:sz w:val="28"/>
          <w:szCs w:val="28"/>
        </w:rPr>
      </w:pPr>
      <w:r w:rsidRPr="005258F4">
        <w:rPr>
          <w:rFonts w:ascii="Arial Nova" w:hAnsi="Arial Nova" w:cstheme="minorHAnsi"/>
          <w:b/>
          <w:bCs/>
          <w:color w:val="FF3300"/>
          <w:sz w:val="28"/>
          <w:szCs w:val="28"/>
        </w:rPr>
        <w:t xml:space="preserve">4.1) </w:t>
      </w:r>
      <w:r w:rsidR="00A91D23" w:rsidRPr="005258F4">
        <w:rPr>
          <w:rFonts w:ascii="Arial Nova" w:hAnsi="Arial Nova" w:cstheme="minorHAnsi"/>
          <w:b/>
          <w:bCs/>
          <w:color w:val="FF3300"/>
          <w:sz w:val="28"/>
          <w:szCs w:val="28"/>
        </w:rPr>
        <w:t xml:space="preserve">PROPOSTE </w:t>
      </w:r>
    </w:p>
    <w:p w14:paraId="4C11F396" w14:textId="7EDD48AB" w:rsidR="00A91D23" w:rsidRPr="006B39BB" w:rsidRDefault="00A91D23" w:rsidP="005562FA">
      <w:pPr>
        <w:spacing w:line="360" w:lineRule="auto"/>
        <w:jc w:val="both"/>
        <w:rPr>
          <w:rFonts w:ascii="Arial Nova" w:hAnsi="Arial Nova" w:cstheme="minorHAnsi"/>
          <w:color w:val="44546A" w:themeColor="text2"/>
        </w:rPr>
      </w:pPr>
      <w:r w:rsidRPr="006B39BB">
        <w:rPr>
          <w:rFonts w:ascii="Arial Nova" w:hAnsi="Arial Nova" w:cstheme="minorHAnsi"/>
          <w:color w:val="44546A" w:themeColor="text2"/>
        </w:rPr>
        <w:t>La digitalizzazione dei processi dovrebbe riguardare anche gli adempimenti e la relazione tra terminal/imprese e Enti</w:t>
      </w:r>
    </w:p>
    <w:p w14:paraId="7AE61F9B" w14:textId="77777777" w:rsidR="00A91D23" w:rsidRPr="006B39BB" w:rsidRDefault="00A91D23" w:rsidP="000A6174">
      <w:pPr>
        <w:pStyle w:val="Paragrafoelenco"/>
        <w:numPr>
          <w:ilvl w:val="0"/>
          <w:numId w:val="11"/>
        </w:numPr>
        <w:spacing w:line="360" w:lineRule="auto"/>
        <w:ind w:left="0"/>
        <w:jc w:val="both"/>
        <w:rPr>
          <w:rFonts w:ascii="Arial Nova" w:hAnsi="Arial Nova" w:cstheme="minorHAnsi"/>
          <w:color w:val="44546A" w:themeColor="text2"/>
        </w:rPr>
      </w:pPr>
      <w:r w:rsidRPr="006B39BB">
        <w:rPr>
          <w:rFonts w:ascii="Arial Nova" w:hAnsi="Arial Nova" w:cstheme="minorHAnsi"/>
          <w:color w:val="44546A" w:themeColor="text2"/>
        </w:rPr>
        <w:t>Procedere attraverso il SIN (o altri strumenti) alla mappatura dei sedimi portuali, delle concessioni e autorizzazioni, dei regolamenti e degli atti delle ADSP per favorire un monitoraggio e una maggiore fruibilità (trasparenza) della gestione degli asset demaniali</w:t>
      </w:r>
    </w:p>
    <w:p w14:paraId="4EAD3F7C" w14:textId="0005D5C2" w:rsidR="00A91D23" w:rsidRPr="006B39BB" w:rsidRDefault="00A91D23" w:rsidP="000A6174">
      <w:pPr>
        <w:pStyle w:val="Paragrafoelenco"/>
        <w:numPr>
          <w:ilvl w:val="0"/>
          <w:numId w:val="11"/>
        </w:numPr>
        <w:spacing w:line="360" w:lineRule="auto"/>
        <w:ind w:left="0"/>
        <w:jc w:val="both"/>
        <w:rPr>
          <w:rFonts w:ascii="Arial Nova" w:hAnsi="Arial Nova" w:cstheme="minorHAnsi"/>
          <w:color w:val="44546A" w:themeColor="text2"/>
        </w:rPr>
      </w:pPr>
      <w:r w:rsidRPr="006B39BB">
        <w:rPr>
          <w:rFonts w:ascii="Arial Nova" w:hAnsi="Arial Nova" w:cstheme="minorHAnsi"/>
          <w:color w:val="44546A" w:themeColor="text2"/>
        </w:rPr>
        <w:t>Procedere alla digitalizzazione dei processi autorizzativi/concessori</w:t>
      </w:r>
    </w:p>
    <w:p w14:paraId="6DDAF816" w14:textId="18CCC33D" w:rsidR="00A91D23" w:rsidRPr="006B39BB" w:rsidRDefault="00960D1E" w:rsidP="000A6174">
      <w:pPr>
        <w:pStyle w:val="Paragrafoelenco"/>
        <w:numPr>
          <w:ilvl w:val="0"/>
          <w:numId w:val="11"/>
        </w:numPr>
        <w:spacing w:line="360" w:lineRule="auto"/>
        <w:ind w:left="0"/>
        <w:jc w:val="both"/>
        <w:rPr>
          <w:rFonts w:ascii="Arial Nova" w:hAnsi="Arial Nova" w:cstheme="minorHAnsi"/>
          <w:color w:val="44546A" w:themeColor="text2"/>
        </w:rPr>
      </w:pPr>
      <w:r w:rsidRPr="006B39BB">
        <w:rPr>
          <w:rFonts w:ascii="Arial Nova" w:hAnsi="Arial Nova" w:cstheme="minorHAnsi"/>
          <w:color w:val="44546A" w:themeColor="text2"/>
        </w:rPr>
        <w:t xml:space="preserve">Favorire una razionalizzazione delle procedure di controllo di merci e passeggeri (anche ai fini di security) </w:t>
      </w:r>
    </w:p>
    <w:p w14:paraId="7AD1E35A" w14:textId="2C8FEC29" w:rsidR="00A91D23" w:rsidRPr="006B39BB" w:rsidRDefault="00960D1E" w:rsidP="000A6174">
      <w:pPr>
        <w:pStyle w:val="Paragrafoelenco"/>
        <w:numPr>
          <w:ilvl w:val="0"/>
          <w:numId w:val="11"/>
        </w:numPr>
        <w:spacing w:line="360" w:lineRule="auto"/>
        <w:ind w:left="0"/>
        <w:jc w:val="both"/>
        <w:rPr>
          <w:rFonts w:ascii="Arial Nova" w:hAnsi="Arial Nova" w:cstheme="minorHAnsi"/>
          <w:color w:val="44546A" w:themeColor="text2"/>
        </w:rPr>
      </w:pPr>
      <w:r w:rsidRPr="006B39BB">
        <w:rPr>
          <w:rFonts w:ascii="Arial Nova" w:hAnsi="Arial Nova" w:cstheme="minorHAnsi"/>
          <w:color w:val="44546A" w:themeColor="text2"/>
        </w:rPr>
        <w:t>Implementare la connettività nei porti</w:t>
      </w:r>
    </w:p>
    <w:p w14:paraId="4122D384" w14:textId="77777777" w:rsidR="00132AF9" w:rsidRPr="006B39BB" w:rsidRDefault="00132AF9" w:rsidP="00132AF9">
      <w:pPr>
        <w:spacing w:line="360" w:lineRule="auto"/>
        <w:jc w:val="both"/>
        <w:rPr>
          <w:rFonts w:ascii="Arial Nova" w:hAnsi="Arial Nova" w:cstheme="minorHAnsi"/>
        </w:rPr>
      </w:pPr>
    </w:p>
    <w:p w14:paraId="1C755120" w14:textId="77777777" w:rsidR="00132AF9" w:rsidRPr="006B39BB" w:rsidRDefault="00132AF9" w:rsidP="00132AF9">
      <w:pPr>
        <w:spacing w:line="360" w:lineRule="auto"/>
        <w:jc w:val="both"/>
        <w:rPr>
          <w:rFonts w:ascii="Arial Nova" w:hAnsi="Arial Nova" w:cstheme="minorHAnsi"/>
        </w:rPr>
      </w:pPr>
    </w:p>
    <w:p w14:paraId="3A2325B7" w14:textId="500441D8" w:rsidR="00E148E5" w:rsidRPr="005258F4" w:rsidRDefault="00132AF9" w:rsidP="005258F4">
      <w:pPr>
        <w:spacing w:line="360" w:lineRule="auto"/>
        <w:ind w:left="5664"/>
        <w:jc w:val="both"/>
        <w:rPr>
          <w:rFonts w:ascii="Arial Nova" w:hAnsi="Arial Nova" w:cstheme="minorHAnsi"/>
          <w:color w:val="2F5496" w:themeColor="accent1" w:themeShade="BF"/>
        </w:rPr>
      </w:pPr>
      <w:r w:rsidRPr="006B39BB">
        <w:rPr>
          <w:rFonts w:ascii="Arial Nova" w:hAnsi="Arial Nova" w:cstheme="minorHAnsi"/>
          <w:color w:val="2F5496" w:themeColor="accent1" w:themeShade="BF"/>
        </w:rPr>
        <w:t>ASSITERMINAL, 9 dicembre 2024</w:t>
      </w:r>
    </w:p>
    <w:sectPr w:rsidR="00E148E5" w:rsidRPr="005258F4">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8B985" w14:textId="77777777" w:rsidR="00707881" w:rsidRDefault="00707881" w:rsidP="00FF320B">
      <w:r>
        <w:separator/>
      </w:r>
    </w:p>
  </w:endnote>
  <w:endnote w:type="continuationSeparator" w:id="0">
    <w:p w14:paraId="49AD40F6" w14:textId="77777777" w:rsidR="00707881" w:rsidRDefault="00707881" w:rsidP="00FF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AF8A2" w14:textId="77777777" w:rsidR="002058FE" w:rsidRDefault="002058F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rPr>
      <w:id w:val="-196549625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B70A84C" w14:textId="53931570" w:rsidR="00FF320B" w:rsidRDefault="0082711F">
            <w:pPr>
              <w:rPr>
                <w:rFonts w:asciiTheme="majorHAnsi" w:eastAsiaTheme="majorEastAsia" w:hAnsiTheme="majorHAnsi" w:cstheme="majorBidi"/>
              </w:rPr>
            </w:pPr>
          </w:p>
        </w:sdtContent>
      </w:sdt>
    </w:sdtContent>
  </w:sdt>
  <w:p w14:paraId="288541B3" w14:textId="4CAA5941" w:rsidR="00FF320B" w:rsidRDefault="00FF320B">
    <w:pPr>
      <w:pStyle w:val="Pidipagina"/>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232AEC35" wp14:editId="0269D19A">
              <wp:simplePos x="0" y="0"/>
              <wp:positionH relativeFrom="margin">
                <wp:posOffset>2899410</wp:posOffset>
              </wp:positionH>
              <wp:positionV relativeFrom="bottomMargin">
                <wp:posOffset>208915</wp:posOffset>
              </wp:positionV>
              <wp:extent cx="474345" cy="512445"/>
              <wp:effectExtent l="0" t="0" r="1905" b="1905"/>
              <wp:wrapNone/>
              <wp:docPr id="1429749509" name="Ova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5124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B46261" w14:textId="77777777" w:rsidR="00FF320B" w:rsidRDefault="00FF320B">
                          <w:pPr>
                            <w:pStyle w:val="Pidipagina"/>
                            <w:jc w:val="center"/>
                            <w:rPr>
                              <w:b/>
                              <w:bCs/>
                              <w:color w:val="FFFFFF" w:themeColor="background1"/>
                              <w:sz w:val="32"/>
                              <w:szCs w:val="32"/>
                            </w:rPr>
                          </w:pPr>
                          <w:r>
                            <w:rPr>
                              <w:color w:val="auto"/>
                              <w:sz w:val="22"/>
                              <w:szCs w:val="22"/>
                            </w:rPr>
                            <w:fldChar w:fldCharType="begin"/>
                          </w:r>
                          <w:r>
                            <w:instrText>PAGE    \* MERGEFORMAT</w:instrText>
                          </w:r>
                          <w:r>
                            <w:rPr>
                              <w:color w:val="auto"/>
                              <w:sz w:val="22"/>
                              <w:szCs w:val="22"/>
                            </w:rP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2AEC35" id="Ovale 1" o:spid="_x0000_s1026" style="position:absolute;margin-left:228.3pt;margin-top:16.45pt;width:37.35pt;height:4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" fillcolor="#40618b" stroked="f">
              <v:textbox>
                <w:txbxContent>
                  <w:p w14:paraId="40B46261" w14:textId="77777777" w:rsidR="00FF320B" w:rsidRDefault="00FF320B">
                    <w:pPr>
                      <w:pStyle w:val="Pidipagina"/>
                      <w:jc w:val="center"/>
                      <w:rPr>
                        <w:b/>
                        <w:bCs/>
                        <w:color w:val="FFFFFF" w:themeColor="background1"/>
                        <w:sz w:val="32"/>
                        <w:szCs w:val="32"/>
                      </w:rPr>
                    </w:pPr>
                    <w:r>
                      <w:rPr>
                        <w:color w:val="auto"/>
                        <w:sz w:val="22"/>
                        <w:szCs w:val="22"/>
                      </w:rPr>
                      <w:fldChar w:fldCharType="begin"/>
                    </w:r>
                    <w:r>
                      <w:instrText>PAGE    \* MERGEFORMAT</w:instrText>
                    </w:r>
                    <w:r>
                      <w:rPr>
                        <w:color w:val="auto"/>
                        <w:sz w:val="22"/>
                        <w:szCs w:val="22"/>
                      </w:rP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CCF11" w14:textId="77777777" w:rsidR="002058FE" w:rsidRDefault="002058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A3384" w14:textId="77777777" w:rsidR="00707881" w:rsidRDefault="00707881" w:rsidP="00FF320B">
      <w:r>
        <w:separator/>
      </w:r>
    </w:p>
  </w:footnote>
  <w:footnote w:type="continuationSeparator" w:id="0">
    <w:p w14:paraId="28C4B4DE" w14:textId="77777777" w:rsidR="00707881" w:rsidRDefault="00707881" w:rsidP="00FF3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1230C" w14:textId="6C43ACD8" w:rsidR="00DA3957" w:rsidRDefault="0082711F">
    <w:pPr>
      <w:pStyle w:val="Intestazione"/>
    </w:pPr>
    <w:r>
      <w:rPr>
        <w:noProof/>
        <w:bdr w:val="none" w:sz="0" w:space="0" w:color="auto"/>
        <w14:ligatures w14:val="standardContextual"/>
      </w:rPr>
      <w:pict w14:anchorId="7B4AC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9972735" o:spid="_x0000_s1027" type="#_x0000_t75" alt="" style="position:absolute;margin-left:0;margin-top:0;width:783.8pt;height:204pt;z-index:-251655168;mso-wrap-edited:f;mso-position-horizontal:center;mso-position-horizontal-relative:margin;mso-position-vertical:center;mso-position-vertical-relative:margin" o:allowincell="f">
          <v:imagedata r:id="rId1" o:title="positivo_alta_risoluzio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AE7C8" w14:textId="02BC256F" w:rsidR="00960D1E" w:rsidRPr="00960D1E" w:rsidRDefault="0082711F" w:rsidP="00960D1E">
    <w:pPr>
      <w:pStyle w:val="Intestazione"/>
      <w:rPr>
        <w:b/>
        <w:color w:val="00204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bdr w:val="none" w:sz="0" w:space="0" w:color="auto"/>
        <w14:ligatures w14:val="standardContextual"/>
      </w:rPr>
      <w:pict w14:anchorId="1D218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9972736" o:spid="_x0000_s1026" type="#_x0000_t75" alt="" style="position:absolute;margin-left:0;margin-top:0;width:783.8pt;height:204pt;z-index:-251654144;mso-wrap-edited:f;mso-position-horizontal:center;mso-position-horizontal-relative:margin;mso-position-vertical:center;mso-position-vertical-relative:margin" o:allowincell="f">
          <v:imagedata r:id="rId1" o:title="positivo_alta_risoluzione" gain="19661f" blacklevel="22938f"/>
          <w10:wrap anchorx="margin" anchory="margin"/>
        </v:shape>
      </w:pict>
    </w:r>
    <w:r w:rsidR="00960D1E" w:rsidRPr="00960D1E">
      <w:rPr>
        <w:noProof/>
      </w:rPr>
      <w:drawing>
        <wp:inline distT="0" distB="0" distL="0" distR="0" wp14:anchorId="2B76E446" wp14:editId="39FDE97D">
          <wp:extent cx="2257425" cy="587017"/>
          <wp:effectExtent l="0" t="0" r="0" b="3810"/>
          <wp:docPr id="21213040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825" cy="589981"/>
                  </a:xfrm>
                  <a:prstGeom prst="rect">
                    <a:avLst/>
                  </a:prstGeom>
                  <a:noFill/>
                  <a:ln>
                    <a:noFill/>
                  </a:ln>
                </pic:spPr>
              </pic:pic>
            </a:graphicData>
          </a:graphic>
        </wp:inline>
      </w:drawing>
    </w:r>
    <w:r w:rsidR="00960D1E">
      <w:t xml:space="preserve">   </w:t>
    </w:r>
    <w:r w:rsidR="00960D1E">
      <w:tab/>
      <w:t xml:space="preserve">            </w:t>
    </w:r>
    <w:r w:rsidR="00960D1E" w:rsidRPr="00960D1E">
      <w:rPr>
        <w:b/>
        <w:color w:val="00204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QUALE PORTUALITA’</w:t>
    </w:r>
    <w:r w:rsidR="00FD1672">
      <w:rPr>
        <w:b/>
        <w:color w:val="00204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A3957">
      <w:rPr>
        <w:b/>
        <w:color w:val="00204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nel </w:t>
    </w:r>
    <w:r w:rsidR="00960D1E" w:rsidRPr="00960D1E">
      <w:rPr>
        <w:b/>
        <w:color w:val="00204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BC17E0">
      <w:rPr>
        <w:b/>
        <w:color w:val="00204F"/>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 …</w:t>
    </w:r>
  </w:p>
  <w:p w14:paraId="0F81CF3D" w14:textId="02CB1235" w:rsidR="00960D1E" w:rsidRPr="00960D1E" w:rsidRDefault="00960D1E" w:rsidP="00960D1E">
    <w:pPr>
      <w:pStyle w:val="Intestazione"/>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87A9" w14:textId="224A162F" w:rsidR="00DA3957" w:rsidRDefault="0082711F">
    <w:pPr>
      <w:pStyle w:val="Intestazione"/>
    </w:pPr>
    <w:r>
      <w:rPr>
        <w:noProof/>
        <w:bdr w:val="none" w:sz="0" w:space="0" w:color="auto"/>
        <w14:ligatures w14:val="standardContextual"/>
      </w:rPr>
      <w:pict w14:anchorId="0F41D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9972734" o:spid="_x0000_s1025" type="#_x0000_t75" alt="" style="position:absolute;margin-left:0;margin-top:0;width:783.8pt;height:204pt;z-index:-251656192;mso-wrap-edited:f;mso-position-horizontal:center;mso-position-horizontal-relative:margin;mso-position-vertical:center;mso-position-vertical-relative:margin" o:allowincell="f">
          <v:imagedata r:id="rId1" o:title="positivo_alta_risoluzio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BC5684"/>
    <w:multiLevelType w:val="hybridMultilevel"/>
    <w:tmpl w:val="75FE29D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1518799B"/>
    <w:multiLevelType w:val="hybridMultilevel"/>
    <w:tmpl w:val="7E4A3D8C"/>
    <w:lvl w:ilvl="0" w:tplc="4476E338">
      <w:start w:val="1"/>
      <w:numFmt w:val="lowerLetter"/>
      <w:lvlText w:val="%1)"/>
      <w:lvlJc w:val="left"/>
      <w:pPr>
        <w:ind w:left="210" w:hanging="360"/>
      </w:pPr>
      <w:rPr>
        <w:rFonts w:hint="default"/>
      </w:rPr>
    </w:lvl>
    <w:lvl w:ilvl="1" w:tplc="04100019" w:tentative="1">
      <w:start w:val="1"/>
      <w:numFmt w:val="lowerLetter"/>
      <w:lvlText w:val="%2."/>
      <w:lvlJc w:val="left"/>
      <w:pPr>
        <w:ind w:left="930" w:hanging="360"/>
      </w:pPr>
    </w:lvl>
    <w:lvl w:ilvl="2" w:tplc="0410001B" w:tentative="1">
      <w:start w:val="1"/>
      <w:numFmt w:val="lowerRoman"/>
      <w:lvlText w:val="%3."/>
      <w:lvlJc w:val="right"/>
      <w:pPr>
        <w:ind w:left="1650" w:hanging="180"/>
      </w:pPr>
    </w:lvl>
    <w:lvl w:ilvl="3" w:tplc="0410000F" w:tentative="1">
      <w:start w:val="1"/>
      <w:numFmt w:val="decimal"/>
      <w:lvlText w:val="%4."/>
      <w:lvlJc w:val="left"/>
      <w:pPr>
        <w:ind w:left="2370" w:hanging="360"/>
      </w:pPr>
    </w:lvl>
    <w:lvl w:ilvl="4" w:tplc="04100019" w:tentative="1">
      <w:start w:val="1"/>
      <w:numFmt w:val="lowerLetter"/>
      <w:lvlText w:val="%5."/>
      <w:lvlJc w:val="left"/>
      <w:pPr>
        <w:ind w:left="3090" w:hanging="360"/>
      </w:pPr>
    </w:lvl>
    <w:lvl w:ilvl="5" w:tplc="0410001B" w:tentative="1">
      <w:start w:val="1"/>
      <w:numFmt w:val="lowerRoman"/>
      <w:lvlText w:val="%6."/>
      <w:lvlJc w:val="right"/>
      <w:pPr>
        <w:ind w:left="3810" w:hanging="180"/>
      </w:pPr>
    </w:lvl>
    <w:lvl w:ilvl="6" w:tplc="0410000F" w:tentative="1">
      <w:start w:val="1"/>
      <w:numFmt w:val="decimal"/>
      <w:lvlText w:val="%7."/>
      <w:lvlJc w:val="left"/>
      <w:pPr>
        <w:ind w:left="4530" w:hanging="360"/>
      </w:pPr>
    </w:lvl>
    <w:lvl w:ilvl="7" w:tplc="04100019" w:tentative="1">
      <w:start w:val="1"/>
      <w:numFmt w:val="lowerLetter"/>
      <w:lvlText w:val="%8."/>
      <w:lvlJc w:val="left"/>
      <w:pPr>
        <w:ind w:left="5250" w:hanging="360"/>
      </w:pPr>
    </w:lvl>
    <w:lvl w:ilvl="8" w:tplc="0410001B" w:tentative="1">
      <w:start w:val="1"/>
      <w:numFmt w:val="lowerRoman"/>
      <w:lvlText w:val="%9."/>
      <w:lvlJc w:val="right"/>
      <w:pPr>
        <w:ind w:left="5970" w:hanging="180"/>
      </w:pPr>
    </w:lvl>
  </w:abstractNum>
  <w:abstractNum w:abstractNumId="2" w15:restartNumberingAfterBreak="0">
    <w:nsid w:val="178156CE"/>
    <w:multiLevelType w:val="hybridMultilevel"/>
    <w:tmpl w:val="88B27498"/>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7711CE"/>
    <w:multiLevelType w:val="hybridMultilevel"/>
    <w:tmpl w:val="79342B76"/>
    <w:lvl w:ilvl="0" w:tplc="04100001">
      <w:start w:val="1"/>
      <w:numFmt w:val="bullet"/>
      <w:lvlText w:val=""/>
      <w:lvlJc w:val="left"/>
      <w:pPr>
        <w:ind w:left="210" w:hanging="360"/>
      </w:pPr>
      <w:rPr>
        <w:rFonts w:ascii="Symbol" w:hAnsi="Symbol" w:hint="default"/>
      </w:rPr>
    </w:lvl>
    <w:lvl w:ilvl="1" w:tplc="04100003" w:tentative="1">
      <w:start w:val="1"/>
      <w:numFmt w:val="bullet"/>
      <w:lvlText w:val="o"/>
      <w:lvlJc w:val="left"/>
      <w:pPr>
        <w:ind w:left="930" w:hanging="360"/>
      </w:pPr>
      <w:rPr>
        <w:rFonts w:ascii="Courier New" w:hAnsi="Courier New" w:cs="Courier New" w:hint="default"/>
      </w:rPr>
    </w:lvl>
    <w:lvl w:ilvl="2" w:tplc="04100005" w:tentative="1">
      <w:start w:val="1"/>
      <w:numFmt w:val="bullet"/>
      <w:lvlText w:val=""/>
      <w:lvlJc w:val="left"/>
      <w:pPr>
        <w:ind w:left="1650" w:hanging="360"/>
      </w:pPr>
      <w:rPr>
        <w:rFonts w:ascii="Wingdings" w:hAnsi="Wingdings" w:hint="default"/>
      </w:rPr>
    </w:lvl>
    <w:lvl w:ilvl="3" w:tplc="04100001" w:tentative="1">
      <w:start w:val="1"/>
      <w:numFmt w:val="bullet"/>
      <w:lvlText w:val=""/>
      <w:lvlJc w:val="left"/>
      <w:pPr>
        <w:ind w:left="2370" w:hanging="360"/>
      </w:pPr>
      <w:rPr>
        <w:rFonts w:ascii="Symbol" w:hAnsi="Symbol" w:hint="default"/>
      </w:rPr>
    </w:lvl>
    <w:lvl w:ilvl="4" w:tplc="04100003" w:tentative="1">
      <w:start w:val="1"/>
      <w:numFmt w:val="bullet"/>
      <w:lvlText w:val="o"/>
      <w:lvlJc w:val="left"/>
      <w:pPr>
        <w:ind w:left="3090" w:hanging="360"/>
      </w:pPr>
      <w:rPr>
        <w:rFonts w:ascii="Courier New" w:hAnsi="Courier New" w:cs="Courier New" w:hint="default"/>
      </w:rPr>
    </w:lvl>
    <w:lvl w:ilvl="5" w:tplc="04100005" w:tentative="1">
      <w:start w:val="1"/>
      <w:numFmt w:val="bullet"/>
      <w:lvlText w:val=""/>
      <w:lvlJc w:val="left"/>
      <w:pPr>
        <w:ind w:left="3810" w:hanging="360"/>
      </w:pPr>
      <w:rPr>
        <w:rFonts w:ascii="Wingdings" w:hAnsi="Wingdings" w:hint="default"/>
      </w:rPr>
    </w:lvl>
    <w:lvl w:ilvl="6" w:tplc="04100001" w:tentative="1">
      <w:start w:val="1"/>
      <w:numFmt w:val="bullet"/>
      <w:lvlText w:val=""/>
      <w:lvlJc w:val="left"/>
      <w:pPr>
        <w:ind w:left="4530" w:hanging="360"/>
      </w:pPr>
      <w:rPr>
        <w:rFonts w:ascii="Symbol" w:hAnsi="Symbol" w:hint="default"/>
      </w:rPr>
    </w:lvl>
    <w:lvl w:ilvl="7" w:tplc="04100003" w:tentative="1">
      <w:start w:val="1"/>
      <w:numFmt w:val="bullet"/>
      <w:lvlText w:val="o"/>
      <w:lvlJc w:val="left"/>
      <w:pPr>
        <w:ind w:left="5250" w:hanging="360"/>
      </w:pPr>
      <w:rPr>
        <w:rFonts w:ascii="Courier New" w:hAnsi="Courier New" w:cs="Courier New" w:hint="default"/>
      </w:rPr>
    </w:lvl>
    <w:lvl w:ilvl="8" w:tplc="04100005" w:tentative="1">
      <w:start w:val="1"/>
      <w:numFmt w:val="bullet"/>
      <w:lvlText w:val=""/>
      <w:lvlJc w:val="left"/>
      <w:pPr>
        <w:ind w:left="5970" w:hanging="360"/>
      </w:pPr>
      <w:rPr>
        <w:rFonts w:ascii="Wingdings" w:hAnsi="Wingdings" w:hint="default"/>
      </w:rPr>
    </w:lvl>
  </w:abstractNum>
  <w:abstractNum w:abstractNumId="4" w15:restartNumberingAfterBreak="0">
    <w:nsid w:val="28FD31CB"/>
    <w:multiLevelType w:val="hybridMultilevel"/>
    <w:tmpl w:val="DC565CE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318D2634"/>
    <w:multiLevelType w:val="hybridMultilevel"/>
    <w:tmpl w:val="02D85804"/>
    <w:lvl w:ilvl="0" w:tplc="42A8934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2466510"/>
    <w:multiLevelType w:val="multilevel"/>
    <w:tmpl w:val="D40457E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7A00A16"/>
    <w:multiLevelType w:val="hybridMultilevel"/>
    <w:tmpl w:val="2F94B01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4A8F0E6D"/>
    <w:multiLevelType w:val="hybridMultilevel"/>
    <w:tmpl w:val="3F88A52E"/>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9" w15:restartNumberingAfterBreak="0">
    <w:nsid w:val="4EC234D9"/>
    <w:multiLevelType w:val="hybridMultilevel"/>
    <w:tmpl w:val="2AE64814"/>
    <w:lvl w:ilvl="0" w:tplc="04100011">
      <w:start w:val="1"/>
      <w:numFmt w:val="decimal"/>
      <w:lvlText w:val="%1)"/>
      <w:lvlJc w:val="left"/>
      <w:pPr>
        <w:ind w:left="3240" w:hanging="360"/>
      </w:pPr>
      <w:rPr>
        <w:rFonts w:hint="default"/>
      </w:rPr>
    </w:lvl>
    <w:lvl w:ilvl="1" w:tplc="04100019" w:tentative="1">
      <w:start w:val="1"/>
      <w:numFmt w:val="lowerLetter"/>
      <w:lvlText w:val="%2."/>
      <w:lvlJc w:val="left"/>
      <w:pPr>
        <w:ind w:left="3960" w:hanging="360"/>
      </w:pPr>
    </w:lvl>
    <w:lvl w:ilvl="2" w:tplc="0410001B" w:tentative="1">
      <w:start w:val="1"/>
      <w:numFmt w:val="lowerRoman"/>
      <w:lvlText w:val="%3."/>
      <w:lvlJc w:val="right"/>
      <w:pPr>
        <w:ind w:left="4680" w:hanging="180"/>
      </w:pPr>
    </w:lvl>
    <w:lvl w:ilvl="3" w:tplc="0410000F" w:tentative="1">
      <w:start w:val="1"/>
      <w:numFmt w:val="decimal"/>
      <w:lvlText w:val="%4."/>
      <w:lvlJc w:val="left"/>
      <w:pPr>
        <w:ind w:left="5400" w:hanging="360"/>
      </w:pPr>
    </w:lvl>
    <w:lvl w:ilvl="4" w:tplc="04100019" w:tentative="1">
      <w:start w:val="1"/>
      <w:numFmt w:val="lowerLetter"/>
      <w:lvlText w:val="%5."/>
      <w:lvlJc w:val="left"/>
      <w:pPr>
        <w:ind w:left="6120" w:hanging="360"/>
      </w:pPr>
    </w:lvl>
    <w:lvl w:ilvl="5" w:tplc="0410001B" w:tentative="1">
      <w:start w:val="1"/>
      <w:numFmt w:val="lowerRoman"/>
      <w:lvlText w:val="%6."/>
      <w:lvlJc w:val="right"/>
      <w:pPr>
        <w:ind w:left="6840" w:hanging="180"/>
      </w:pPr>
    </w:lvl>
    <w:lvl w:ilvl="6" w:tplc="0410000F" w:tentative="1">
      <w:start w:val="1"/>
      <w:numFmt w:val="decimal"/>
      <w:lvlText w:val="%7."/>
      <w:lvlJc w:val="left"/>
      <w:pPr>
        <w:ind w:left="7560" w:hanging="360"/>
      </w:pPr>
    </w:lvl>
    <w:lvl w:ilvl="7" w:tplc="04100019" w:tentative="1">
      <w:start w:val="1"/>
      <w:numFmt w:val="lowerLetter"/>
      <w:lvlText w:val="%8."/>
      <w:lvlJc w:val="left"/>
      <w:pPr>
        <w:ind w:left="8280" w:hanging="360"/>
      </w:pPr>
    </w:lvl>
    <w:lvl w:ilvl="8" w:tplc="0410001B" w:tentative="1">
      <w:start w:val="1"/>
      <w:numFmt w:val="lowerRoman"/>
      <w:lvlText w:val="%9."/>
      <w:lvlJc w:val="right"/>
      <w:pPr>
        <w:ind w:left="9000" w:hanging="180"/>
      </w:pPr>
    </w:lvl>
  </w:abstractNum>
  <w:abstractNum w:abstractNumId="10" w15:restartNumberingAfterBreak="0">
    <w:nsid w:val="5FCF5C2C"/>
    <w:multiLevelType w:val="hybridMultilevel"/>
    <w:tmpl w:val="A67EDD8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729A5A6A"/>
    <w:multiLevelType w:val="hybridMultilevel"/>
    <w:tmpl w:val="9DD8F7EE"/>
    <w:lvl w:ilvl="0" w:tplc="ECE49390">
      <w:start w:val="1"/>
      <w:numFmt w:val="decimal"/>
      <w:lvlText w:val="%1."/>
      <w:lvlJc w:val="left"/>
      <w:pPr>
        <w:ind w:left="720" w:hanging="360"/>
      </w:pPr>
      <w:rPr>
        <w:rFonts w:ascii="Calibri" w:eastAsia="Times New Roman" w:hAnsi="Calibri" w:cs="Calibri"/>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7C9A7E4E"/>
    <w:multiLevelType w:val="hybridMultilevel"/>
    <w:tmpl w:val="AA3A0484"/>
    <w:lvl w:ilvl="0" w:tplc="04100001">
      <w:start w:val="1"/>
      <w:numFmt w:val="bullet"/>
      <w:lvlText w:val=""/>
      <w:lvlJc w:val="left"/>
      <w:pPr>
        <w:ind w:left="210" w:hanging="360"/>
      </w:pPr>
      <w:rPr>
        <w:rFonts w:ascii="Symbol" w:hAnsi="Symbol" w:hint="default"/>
      </w:rPr>
    </w:lvl>
    <w:lvl w:ilvl="1" w:tplc="04100003" w:tentative="1">
      <w:start w:val="1"/>
      <w:numFmt w:val="bullet"/>
      <w:lvlText w:val="o"/>
      <w:lvlJc w:val="left"/>
      <w:pPr>
        <w:ind w:left="930" w:hanging="360"/>
      </w:pPr>
      <w:rPr>
        <w:rFonts w:ascii="Courier New" w:hAnsi="Courier New" w:cs="Courier New" w:hint="default"/>
      </w:rPr>
    </w:lvl>
    <w:lvl w:ilvl="2" w:tplc="04100005" w:tentative="1">
      <w:start w:val="1"/>
      <w:numFmt w:val="bullet"/>
      <w:lvlText w:val=""/>
      <w:lvlJc w:val="left"/>
      <w:pPr>
        <w:ind w:left="1650" w:hanging="360"/>
      </w:pPr>
      <w:rPr>
        <w:rFonts w:ascii="Wingdings" w:hAnsi="Wingdings" w:hint="default"/>
      </w:rPr>
    </w:lvl>
    <w:lvl w:ilvl="3" w:tplc="04100001" w:tentative="1">
      <w:start w:val="1"/>
      <w:numFmt w:val="bullet"/>
      <w:lvlText w:val=""/>
      <w:lvlJc w:val="left"/>
      <w:pPr>
        <w:ind w:left="2370" w:hanging="360"/>
      </w:pPr>
      <w:rPr>
        <w:rFonts w:ascii="Symbol" w:hAnsi="Symbol" w:hint="default"/>
      </w:rPr>
    </w:lvl>
    <w:lvl w:ilvl="4" w:tplc="04100003" w:tentative="1">
      <w:start w:val="1"/>
      <w:numFmt w:val="bullet"/>
      <w:lvlText w:val="o"/>
      <w:lvlJc w:val="left"/>
      <w:pPr>
        <w:ind w:left="3090" w:hanging="360"/>
      </w:pPr>
      <w:rPr>
        <w:rFonts w:ascii="Courier New" w:hAnsi="Courier New" w:cs="Courier New" w:hint="default"/>
      </w:rPr>
    </w:lvl>
    <w:lvl w:ilvl="5" w:tplc="04100005" w:tentative="1">
      <w:start w:val="1"/>
      <w:numFmt w:val="bullet"/>
      <w:lvlText w:val=""/>
      <w:lvlJc w:val="left"/>
      <w:pPr>
        <w:ind w:left="3810" w:hanging="360"/>
      </w:pPr>
      <w:rPr>
        <w:rFonts w:ascii="Wingdings" w:hAnsi="Wingdings" w:hint="default"/>
      </w:rPr>
    </w:lvl>
    <w:lvl w:ilvl="6" w:tplc="04100001" w:tentative="1">
      <w:start w:val="1"/>
      <w:numFmt w:val="bullet"/>
      <w:lvlText w:val=""/>
      <w:lvlJc w:val="left"/>
      <w:pPr>
        <w:ind w:left="4530" w:hanging="360"/>
      </w:pPr>
      <w:rPr>
        <w:rFonts w:ascii="Symbol" w:hAnsi="Symbol" w:hint="default"/>
      </w:rPr>
    </w:lvl>
    <w:lvl w:ilvl="7" w:tplc="04100003" w:tentative="1">
      <w:start w:val="1"/>
      <w:numFmt w:val="bullet"/>
      <w:lvlText w:val="o"/>
      <w:lvlJc w:val="left"/>
      <w:pPr>
        <w:ind w:left="5250" w:hanging="360"/>
      </w:pPr>
      <w:rPr>
        <w:rFonts w:ascii="Courier New" w:hAnsi="Courier New" w:cs="Courier New" w:hint="default"/>
      </w:rPr>
    </w:lvl>
    <w:lvl w:ilvl="8" w:tplc="04100005" w:tentative="1">
      <w:start w:val="1"/>
      <w:numFmt w:val="bullet"/>
      <w:lvlText w:val=""/>
      <w:lvlJc w:val="left"/>
      <w:pPr>
        <w:ind w:left="5970" w:hanging="360"/>
      </w:pPr>
      <w:rPr>
        <w:rFonts w:ascii="Wingdings" w:hAnsi="Wingdings" w:hint="default"/>
      </w:rPr>
    </w:lvl>
  </w:abstractNum>
  <w:num w:numId="1" w16cid:durableId="886919936">
    <w:abstractNumId w:val="12"/>
  </w:num>
  <w:num w:numId="2" w16cid:durableId="48572809">
    <w:abstractNumId w:val="3"/>
  </w:num>
  <w:num w:numId="3" w16cid:durableId="774790443">
    <w:abstractNumId w:val="9"/>
  </w:num>
  <w:num w:numId="4" w16cid:durableId="1040666302">
    <w:abstractNumId w:val="5"/>
  </w:num>
  <w:num w:numId="5" w16cid:durableId="1689718083">
    <w:abstractNumId w:val="11"/>
    <w:lvlOverride w:ilvl="0">
      <w:startOverride w:val="1"/>
    </w:lvlOverride>
    <w:lvlOverride w:ilvl="1"/>
    <w:lvlOverride w:ilvl="2"/>
    <w:lvlOverride w:ilvl="3"/>
    <w:lvlOverride w:ilvl="4"/>
    <w:lvlOverride w:ilvl="5"/>
    <w:lvlOverride w:ilvl="6"/>
    <w:lvlOverride w:ilvl="7"/>
    <w:lvlOverride w:ilvl="8"/>
  </w:num>
  <w:num w:numId="6" w16cid:durableId="818376041">
    <w:abstractNumId w:val="1"/>
  </w:num>
  <w:num w:numId="7" w16cid:durableId="386103617">
    <w:abstractNumId w:val="2"/>
  </w:num>
  <w:num w:numId="8" w16cid:durableId="913048767">
    <w:abstractNumId w:val="7"/>
  </w:num>
  <w:num w:numId="9" w16cid:durableId="1138255085">
    <w:abstractNumId w:val="0"/>
  </w:num>
  <w:num w:numId="10" w16cid:durableId="2087413427">
    <w:abstractNumId w:val="4"/>
  </w:num>
  <w:num w:numId="11" w16cid:durableId="2113552616">
    <w:abstractNumId w:val="8"/>
  </w:num>
  <w:num w:numId="12" w16cid:durableId="980577459">
    <w:abstractNumId w:val="10"/>
  </w:num>
  <w:num w:numId="13" w16cid:durableId="1835340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D8"/>
    <w:rsid w:val="000A2243"/>
    <w:rsid w:val="000A6174"/>
    <w:rsid w:val="000B6454"/>
    <w:rsid w:val="000E6E54"/>
    <w:rsid w:val="000F62D8"/>
    <w:rsid w:val="0012071D"/>
    <w:rsid w:val="00132AF9"/>
    <w:rsid w:val="001876C7"/>
    <w:rsid w:val="001F09EE"/>
    <w:rsid w:val="002058FE"/>
    <w:rsid w:val="00224F5E"/>
    <w:rsid w:val="00294E27"/>
    <w:rsid w:val="002D5C02"/>
    <w:rsid w:val="002E0967"/>
    <w:rsid w:val="003032F8"/>
    <w:rsid w:val="00306A73"/>
    <w:rsid w:val="003F1D2B"/>
    <w:rsid w:val="00422A3B"/>
    <w:rsid w:val="004254E9"/>
    <w:rsid w:val="004422B5"/>
    <w:rsid w:val="004547A5"/>
    <w:rsid w:val="004901C9"/>
    <w:rsid w:val="004A58BD"/>
    <w:rsid w:val="004D3E07"/>
    <w:rsid w:val="004F72AA"/>
    <w:rsid w:val="005258F4"/>
    <w:rsid w:val="00543BB5"/>
    <w:rsid w:val="005508C9"/>
    <w:rsid w:val="005562FA"/>
    <w:rsid w:val="005C17E4"/>
    <w:rsid w:val="005C3713"/>
    <w:rsid w:val="00650B82"/>
    <w:rsid w:val="006760F4"/>
    <w:rsid w:val="00694354"/>
    <w:rsid w:val="006B39BB"/>
    <w:rsid w:val="006C247E"/>
    <w:rsid w:val="006D0F6E"/>
    <w:rsid w:val="006D7AD1"/>
    <w:rsid w:val="006E78BC"/>
    <w:rsid w:val="006F7CBA"/>
    <w:rsid w:val="00707881"/>
    <w:rsid w:val="00712349"/>
    <w:rsid w:val="0074686A"/>
    <w:rsid w:val="0076172A"/>
    <w:rsid w:val="007643C0"/>
    <w:rsid w:val="007A5B53"/>
    <w:rsid w:val="007A7A20"/>
    <w:rsid w:val="007E6184"/>
    <w:rsid w:val="007F3790"/>
    <w:rsid w:val="00826F6D"/>
    <w:rsid w:val="0082711F"/>
    <w:rsid w:val="0085471B"/>
    <w:rsid w:val="008E3207"/>
    <w:rsid w:val="008F0469"/>
    <w:rsid w:val="009402B2"/>
    <w:rsid w:val="00960D1E"/>
    <w:rsid w:val="009A34F7"/>
    <w:rsid w:val="009A4909"/>
    <w:rsid w:val="00A0304D"/>
    <w:rsid w:val="00A05011"/>
    <w:rsid w:val="00A1419D"/>
    <w:rsid w:val="00A245F3"/>
    <w:rsid w:val="00A343DC"/>
    <w:rsid w:val="00A60B29"/>
    <w:rsid w:val="00A8320B"/>
    <w:rsid w:val="00A91D23"/>
    <w:rsid w:val="00B11CAE"/>
    <w:rsid w:val="00B16BFC"/>
    <w:rsid w:val="00B21992"/>
    <w:rsid w:val="00BC17E0"/>
    <w:rsid w:val="00BF1DD8"/>
    <w:rsid w:val="00C125FA"/>
    <w:rsid w:val="00C1380B"/>
    <w:rsid w:val="00CD614A"/>
    <w:rsid w:val="00CE1378"/>
    <w:rsid w:val="00CE5CAD"/>
    <w:rsid w:val="00D216DF"/>
    <w:rsid w:val="00D366B1"/>
    <w:rsid w:val="00D379DE"/>
    <w:rsid w:val="00D47B7E"/>
    <w:rsid w:val="00DA3957"/>
    <w:rsid w:val="00DE4673"/>
    <w:rsid w:val="00E148E5"/>
    <w:rsid w:val="00E65E83"/>
    <w:rsid w:val="00EB1CCD"/>
    <w:rsid w:val="00EC2330"/>
    <w:rsid w:val="00ED3AD2"/>
    <w:rsid w:val="00EF4EC5"/>
    <w:rsid w:val="00EF6315"/>
    <w:rsid w:val="00F05E58"/>
    <w:rsid w:val="00F37C02"/>
    <w:rsid w:val="00F75BFF"/>
    <w:rsid w:val="00F92F0E"/>
    <w:rsid w:val="00F979F7"/>
    <w:rsid w:val="00FD1672"/>
    <w:rsid w:val="00FF32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B0537"/>
  <w15:chartTrackingRefBased/>
  <w15:docId w15:val="{BBCB1E91-D03F-417A-9148-3AF32FC5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62D8"/>
    <w:pPr>
      <w:pBdr>
        <w:top w:val="nil"/>
        <w:left w:val="nil"/>
        <w:bottom w:val="nil"/>
        <w:right w:val="nil"/>
        <w:between w:val="nil"/>
        <w:bar w:val="nil"/>
      </w:pBdr>
      <w:spacing w:after="0" w:line="240" w:lineRule="auto"/>
    </w:pPr>
    <w:rPr>
      <w:rFonts w:ascii="Cambria" w:eastAsia="Arial Unicode MS" w:hAnsi="Cambria" w:cs="Arial Unicode MS"/>
      <w:color w:val="000000"/>
      <w:kern w:val="0"/>
      <w:sz w:val="24"/>
      <w:szCs w:val="24"/>
      <w:u w:color="000000"/>
      <w:bdr w:val="nil"/>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320B"/>
    <w:pPr>
      <w:ind w:left="720"/>
      <w:contextualSpacing/>
    </w:pPr>
  </w:style>
  <w:style w:type="paragraph" w:styleId="Intestazione">
    <w:name w:val="header"/>
    <w:basedOn w:val="Normale"/>
    <w:link w:val="IntestazioneCarattere"/>
    <w:uiPriority w:val="99"/>
    <w:unhideWhenUsed/>
    <w:rsid w:val="00FF320B"/>
    <w:pPr>
      <w:tabs>
        <w:tab w:val="center" w:pos="4819"/>
        <w:tab w:val="right" w:pos="9638"/>
      </w:tabs>
    </w:pPr>
  </w:style>
  <w:style w:type="character" w:customStyle="1" w:styleId="IntestazioneCarattere">
    <w:name w:val="Intestazione Carattere"/>
    <w:basedOn w:val="Carpredefinitoparagrafo"/>
    <w:link w:val="Intestazione"/>
    <w:uiPriority w:val="99"/>
    <w:rsid w:val="00FF320B"/>
    <w:rPr>
      <w:rFonts w:ascii="Cambria" w:eastAsia="Arial Unicode MS" w:hAnsi="Cambria" w:cs="Arial Unicode MS"/>
      <w:color w:val="000000"/>
      <w:kern w:val="0"/>
      <w:sz w:val="24"/>
      <w:szCs w:val="24"/>
      <w:u w:color="000000"/>
      <w:bdr w:val="nil"/>
      <w:lang w:eastAsia="it-IT"/>
      <w14:ligatures w14:val="none"/>
    </w:rPr>
  </w:style>
  <w:style w:type="paragraph" w:styleId="Pidipagina">
    <w:name w:val="footer"/>
    <w:basedOn w:val="Normale"/>
    <w:link w:val="PidipaginaCarattere"/>
    <w:uiPriority w:val="99"/>
    <w:unhideWhenUsed/>
    <w:rsid w:val="00FF320B"/>
    <w:pPr>
      <w:tabs>
        <w:tab w:val="center" w:pos="4819"/>
        <w:tab w:val="right" w:pos="9638"/>
      </w:tabs>
    </w:pPr>
  </w:style>
  <w:style w:type="character" w:customStyle="1" w:styleId="PidipaginaCarattere">
    <w:name w:val="Piè di pagina Carattere"/>
    <w:basedOn w:val="Carpredefinitoparagrafo"/>
    <w:link w:val="Pidipagina"/>
    <w:uiPriority w:val="99"/>
    <w:rsid w:val="00FF320B"/>
    <w:rPr>
      <w:rFonts w:ascii="Cambria" w:eastAsia="Arial Unicode MS" w:hAnsi="Cambria" w:cs="Arial Unicode MS"/>
      <w:color w:val="000000"/>
      <w:kern w:val="0"/>
      <w:sz w:val="24"/>
      <w:szCs w:val="24"/>
      <w:u w:color="000000"/>
      <w:bdr w:val="nil"/>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18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B33BC-BD22-403B-9A3D-2780DFF6C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2215</Words>
  <Characters>12632</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ferrari</dc:creator>
  <cp:keywords/>
  <dc:description/>
  <cp:lastModifiedBy>alessandro ferrari</cp:lastModifiedBy>
  <cp:revision>11</cp:revision>
  <dcterms:created xsi:type="dcterms:W3CDTF">2024-12-02T14:58:00Z</dcterms:created>
  <dcterms:modified xsi:type="dcterms:W3CDTF">2024-12-02T15:23:00Z</dcterms:modified>
</cp:coreProperties>
</file>